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2249A4" w14:textId="612F3399" w:rsidR="007A0A3D" w:rsidRDefault="00A1534B" w:rsidP="008927DE">
      <w:pPr>
        <w:jc w:val="center"/>
        <w:outlineLvl w:val="0"/>
      </w:pPr>
      <w:r>
        <w:t xml:space="preserve">Raport </w:t>
      </w:r>
      <w:r w:rsidR="009D3D41">
        <w:t>końcowy z realizacji projektu</w:t>
      </w:r>
      <w:r w:rsidR="00CA79E4">
        <w:t xml:space="preserve"> informatycznego</w:t>
      </w:r>
      <w:r w:rsidR="00C50CFC">
        <w:t xml:space="preserve"> </w:t>
      </w:r>
    </w:p>
    <w:tbl>
      <w:tblPr>
        <w:tblStyle w:val="Tabela-Siatka"/>
        <w:tblW w:w="0" w:type="auto"/>
        <w:tblLook w:val="04A0" w:firstRow="1" w:lastRow="0" w:firstColumn="1" w:lastColumn="0" w:noHBand="0" w:noVBand="1"/>
      </w:tblPr>
      <w:tblGrid>
        <w:gridCol w:w="480"/>
        <w:gridCol w:w="2350"/>
        <w:gridCol w:w="6232"/>
      </w:tblGrid>
      <w:tr w:rsidR="007A0A3D" w:rsidRPr="002450C4" w14:paraId="6D3591CB" w14:textId="77777777" w:rsidTr="00920CE8">
        <w:tc>
          <w:tcPr>
            <w:tcW w:w="480" w:type="dxa"/>
          </w:tcPr>
          <w:p w14:paraId="62702119" w14:textId="77777777" w:rsidR="007A0A3D" w:rsidRPr="002450C4" w:rsidRDefault="007A0A3D" w:rsidP="007A0A3D">
            <w:pPr>
              <w:jc w:val="center"/>
              <w:rPr>
                <w:b/>
                <w:sz w:val="18"/>
                <w:szCs w:val="20"/>
              </w:rPr>
            </w:pPr>
            <w:r w:rsidRPr="002450C4">
              <w:rPr>
                <w:b/>
                <w:sz w:val="18"/>
                <w:szCs w:val="20"/>
              </w:rPr>
              <w:t>Lp.</w:t>
            </w:r>
          </w:p>
        </w:tc>
        <w:tc>
          <w:tcPr>
            <w:tcW w:w="2350" w:type="dxa"/>
          </w:tcPr>
          <w:p w14:paraId="02B29420" w14:textId="77777777" w:rsidR="007A0A3D" w:rsidRPr="002450C4" w:rsidRDefault="007A0A3D" w:rsidP="007A0A3D">
            <w:pPr>
              <w:jc w:val="center"/>
              <w:rPr>
                <w:b/>
                <w:sz w:val="18"/>
                <w:szCs w:val="20"/>
              </w:rPr>
            </w:pPr>
            <w:r w:rsidRPr="002450C4">
              <w:rPr>
                <w:b/>
                <w:sz w:val="18"/>
                <w:szCs w:val="20"/>
              </w:rPr>
              <w:t>Wyszczególnienie</w:t>
            </w:r>
          </w:p>
        </w:tc>
        <w:tc>
          <w:tcPr>
            <w:tcW w:w="6232" w:type="dxa"/>
          </w:tcPr>
          <w:p w14:paraId="17E95383" w14:textId="77777777" w:rsidR="007A0A3D" w:rsidRPr="002450C4" w:rsidRDefault="007A0A3D" w:rsidP="007A0A3D">
            <w:pPr>
              <w:jc w:val="center"/>
              <w:rPr>
                <w:b/>
                <w:sz w:val="18"/>
                <w:szCs w:val="20"/>
              </w:rPr>
            </w:pPr>
            <w:r w:rsidRPr="002450C4">
              <w:rPr>
                <w:b/>
                <w:sz w:val="18"/>
                <w:szCs w:val="20"/>
              </w:rPr>
              <w:t>Opis</w:t>
            </w:r>
          </w:p>
        </w:tc>
      </w:tr>
      <w:tr w:rsidR="007A0A3D" w:rsidRPr="002450C4" w14:paraId="558800B9" w14:textId="77777777" w:rsidTr="00920CE8">
        <w:tc>
          <w:tcPr>
            <w:tcW w:w="480" w:type="dxa"/>
          </w:tcPr>
          <w:p w14:paraId="3B271B59" w14:textId="77777777" w:rsidR="007A0A3D" w:rsidRPr="002450C4" w:rsidRDefault="007A0A3D" w:rsidP="007A0A3D">
            <w:pPr>
              <w:pStyle w:val="Akapitzlist"/>
              <w:numPr>
                <w:ilvl w:val="0"/>
                <w:numId w:val="1"/>
              </w:numPr>
              <w:rPr>
                <w:sz w:val="18"/>
                <w:szCs w:val="20"/>
              </w:rPr>
            </w:pPr>
          </w:p>
        </w:tc>
        <w:tc>
          <w:tcPr>
            <w:tcW w:w="2350" w:type="dxa"/>
          </w:tcPr>
          <w:p w14:paraId="6650EFE2" w14:textId="77777777" w:rsidR="007A0A3D" w:rsidRPr="002450C4" w:rsidRDefault="007A0A3D">
            <w:pPr>
              <w:rPr>
                <w:sz w:val="18"/>
                <w:szCs w:val="20"/>
              </w:rPr>
            </w:pPr>
            <w:r w:rsidRPr="002450C4">
              <w:rPr>
                <w:sz w:val="18"/>
                <w:szCs w:val="20"/>
              </w:rPr>
              <w:t>Tytuł projektu</w:t>
            </w:r>
          </w:p>
        </w:tc>
        <w:tc>
          <w:tcPr>
            <w:tcW w:w="6232" w:type="dxa"/>
          </w:tcPr>
          <w:p w14:paraId="4A0FA70A" w14:textId="29116C22" w:rsidR="007A0A3D" w:rsidRPr="002450C4" w:rsidRDefault="00AB6515" w:rsidP="0092099A">
            <w:pPr>
              <w:jc w:val="both"/>
              <w:rPr>
                <w:i/>
                <w:sz w:val="18"/>
                <w:szCs w:val="20"/>
              </w:rPr>
            </w:pPr>
            <w:r>
              <w:rPr>
                <w:i/>
                <w:sz w:val="18"/>
                <w:szCs w:val="20"/>
              </w:rPr>
              <w:t xml:space="preserve">Otwarte dane – </w:t>
            </w:r>
            <w:r w:rsidR="00C775DA">
              <w:rPr>
                <w:i/>
                <w:sz w:val="18"/>
                <w:szCs w:val="20"/>
              </w:rPr>
              <w:t>dostęp</w:t>
            </w:r>
            <w:r>
              <w:rPr>
                <w:i/>
                <w:sz w:val="18"/>
                <w:szCs w:val="20"/>
              </w:rPr>
              <w:t>, standard, edukacja</w:t>
            </w:r>
          </w:p>
        </w:tc>
      </w:tr>
      <w:tr w:rsidR="007A0A3D" w:rsidRPr="002450C4" w14:paraId="06629409" w14:textId="77777777" w:rsidTr="00920CE8">
        <w:trPr>
          <w:trHeight w:val="265"/>
        </w:trPr>
        <w:tc>
          <w:tcPr>
            <w:tcW w:w="480" w:type="dxa"/>
          </w:tcPr>
          <w:p w14:paraId="5D90AE18" w14:textId="77777777" w:rsidR="007A0A3D" w:rsidRPr="002450C4" w:rsidRDefault="007A0A3D" w:rsidP="007A0A3D">
            <w:pPr>
              <w:pStyle w:val="Akapitzlist"/>
              <w:numPr>
                <w:ilvl w:val="0"/>
                <w:numId w:val="1"/>
              </w:numPr>
              <w:rPr>
                <w:sz w:val="18"/>
                <w:szCs w:val="20"/>
              </w:rPr>
            </w:pPr>
          </w:p>
        </w:tc>
        <w:tc>
          <w:tcPr>
            <w:tcW w:w="2350" w:type="dxa"/>
          </w:tcPr>
          <w:p w14:paraId="1273B659" w14:textId="77777777" w:rsidR="007A0A3D" w:rsidRPr="002450C4" w:rsidRDefault="007A0A3D" w:rsidP="00A1534B">
            <w:pPr>
              <w:rPr>
                <w:sz w:val="18"/>
                <w:szCs w:val="20"/>
              </w:rPr>
            </w:pPr>
            <w:r w:rsidRPr="002450C4">
              <w:rPr>
                <w:sz w:val="18"/>
                <w:szCs w:val="20"/>
              </w:rPr>
              <w:t xml:space="preserve">Beneficjent projektu </w:t>
            </w:r>
          </w:p>
        </w:tc>
        <w:tc>
          <w:tcPr>
            <w:tcW w:w="6232" w:type="dxa"/>
          </w:tcPr>
          <w:p w14:paraId="7C272FD2" w14:textId="161C2967" w:rsidR="001C611C" w:rsidRPr="00A1534B" w:rsidRDefault="00AB6515" w:rsidP="00AB6515">
            <w:pPr>
              <w:jc w:val="both"/>
              <w:rPr>
                <w:i/>
                <w:sz w:val="18"/>
                <w:szCs w:val="20"/>
              </w:rPr>
            </w:pPr>
            <w:r>
              <w:rPr>
                <w:i/>
                <w:sz w:val="18"/>
                <w:szCs w:val="20"/>
              </w:rPr>
              <w:t>Ministerstwo Cyfryzacji</w:t>
            </w:r>
          </w:p>
        </w:tc>
      </w:tr>
      <w:tr w:rsidR="007A0A3D" w:rsidRPr="002450C4" w14:paraId="72941AD5" w14:textId="77777777" w:rsidTr="00920CE8">
        <w:tc>
          <w:tcPr>
            <w:tcW w:w="480" w:type="dxa"/>
          </w:tcPr>
          <w:p w14:paraId="0ED5E3C8" w14:textId="77777777" w:rsidR="007A0A3D" w:rsidRPr="002450C4" w:rsidRDefault="007A0A3D" w:rsidP="007A0A3D">
            <w:pPr>
              <w:pStyle w:val="Akapitzlist"/>
              <w:numPr>
                <w:ilvl w:val="0"/>
                <w:numId w:val="1"/>
              </w:numPr>
              <w:rPr>
                <w:sz w:val="18"/>
                <w:szCs w:val="20"/>
              </w:rPr>
            </w:pPr>
          </w:p>
        </w:tc>
        <w:tc>
          <w:tcPr>
            <w:tcW w:w="2350" w:type="dxa"/>
          </w:tcPr>
          <w:p w14:paraId="3E902036" w14:textId="77777777" w:rsidR="007A0A3D" w:rsidRPr="002450C4" w:rsidRDefault="007A0A3D" w:rsidP="007A0A3D">
            <w:pPr>
              <w:rPr>
                <w:sz w:val="18"/>
                <w:szCs w:val="20"/>
              </w:rPr>
            </w:pPr>
            <w:r w:rsidRPr="002450C4">
              <w:rPr>
                <w:sz w:val="18"/>
                <w:szCs w:val="20"/>
              </w:rPr>
              <w:t xml:space="preserve">Partnerzy </w:t>
            </w:r>
          </w:p>
        </w:tc>
        <w:tc>
          <w:tcPr>
            <w:tcW w:w="6232" w:type="dxa"/>
          </w:tcPr>
          <w:p w14:paraId="3A308611" w14:textId="0B3D218B" w:rsidR="007A0A3D" w:rsidRPr="002450C4" w:rsidRDefault="00AB6515" w:rsidP="00FD074F">
            <w:pPr>
              <w:jc w:val="both"/>
              <w:rPr>
                <w:i/>
                <w:sz w:val="18"/>
                <w:szCs w:val="20"/>
              </w:rPr>
            </w:pPr>
            <w:r>
              <w:rPr>
                <w:i/>
                <w:sz w:val="18"/>
                <w:szCs w:val="20"/>
              </w:rPr>
              <w:t>Ministerstwo Finansów, Główny Urząd Statystyczny, Narodowy Fundusz Zdrowia</w:t>
            </w:r>
            <w:r w:rsidR="00A1534B">
              <w:rPr>
                <w:i/>
                <w:sz w:val="18"/>
                <w:szCs w:val="20"/>
              </w:rPr>
              <w:t xml:space="preserve"> </w:t>
            </w:r>
          </w:p>
        </w:tc>
      </w:tr>
      <w:tr w:rsidR="003B107D" w:rsidRPr="002450C4" w14:paraId="6019FE7A" w14:textId="77777777" w:rsidTr="00920CE8">
        <w:tc>
          <w:tcPr>
            <w:tcW w:w="480" w:type="dxa"/>
          </w:tcPr>
          <w:p w14:paraId="36D6435B" w14:textId="77777777" w:rsidR="003B107D" w:rsidRPr="002450C4" w:rsidRDefault="003B107D" w:rsidP="007A0A3D">
            <w:pPr>
              <w:pStyle w:val="Akapitzlist"/>
              <w:numPr>
                <w:ilvl w:val="0"/>
                <w:numId w:val="1"/>
              </w:numPr>
              <w:rPr>
                <w:sz w:val="18"/>
                <w:szCs w:val="20"/>
              </w:rPr>
            </w:pPr>
          </w:p>
        </w:tc>
        <w:tc>
          <w:tcPr>
            <w:tcW w:w="2350" w:type="dxa"/>
          </w:tcPr>
          <w:p w14:paraId="54E2DC24" w14:textId="77777777" w:rsidR="003B107D" w:rsidRDefault="005A4344" w:rsidP="0092099A">
            <w:pPr>
              <w:jc w:val="both"/>
              <w:rPr>
                <w:sz w:val="18"/>
                <w:szCs w:val="20"/>
              </w:rPr>
            </w:pPr>
            <w:r>
              <w:rPr>
                <w:sz w:val="18"/>
                <w:szCs w:val="20"/>
              </w:rPr>
              <w:t>Postęp finansowy</w:t>
            </w:r>
          </w:p>
        </w:tc>
        <w:tc>
          <w:tcPr>
            <w:tcW w:w="6232" w:type="dxa"/>
          </w:tcPr>
          <w:p w14:paraId="6B393A6E" w14:textId="29B75788" w:rsidR="00565517" w:rsidRPr="00565517" w:rsidRDefault="00565517" w:rsidP="00565517">
            <w:pPr>
              <w:rPr>
                <w:rFonts w:cstheme="minorHAnsi"/>
                <w:bCs/>
                <w:sz w:val="18"/>
                <w:szCs w:val="18"/>
              </w:rPr>
            </w:pPr>
            <w:r w:rsidRPr="00565517">
              <w:rPr>
                <w:sz w:val="18"/>
                <w:szCs w:val="18"/>
              </w:rPr>
              <w:t xml:space="preserve">Pierwotny budżet projektu wynosił 23 570 025,35 PLN, jednakże w związku z oszczędnościami, wartość projektu uległa zmniejszeniu, a powstałe oszczędności zostały przekazane na realizację zadań lub ich kontynuację do projektu Otwarte dane plus. Po zmniejszeniu wartość projektu wynosi 20 730 325,35 PLN, a </w:t>
            </w:r>
            <w:r w:rsidR="00A66B14">
              <w:rPr>
                <w:sz w:val="18"/>
                <w:szCs w:val="18"/>
              </w:rPr>
              <w:t>faktyczne wydatkowanie wyniosło</w:t>
            </w:r>
            <w:r w:rsidRPr="00565517">
              <w:rPr>
                <w:sz w:val="18"/>
                <w:szCs w:val="18"/>
              </w:rPr>
              <w:t xml:space="preserve"> </w:t>
            </w:r>
            <w:r w:rsidR="00DE07D6">
              <w:rPr>
                <w:rFonts w:cstheme="minorHAnsi"/>
                <w:bCs/>
                <w:sz w:val="18"/>
                <w:szCs w:val="18"/>
              </w:rPr>
              <w:t>19 416 717,25 (według stanu na 1 października</w:t>
            </w:r>
            <w:r w:rsidRPr="00565517">
              <w:rPr>
                <w:rFonts w:cstheme="minorHAnsi"/>
                <w:bCs/>
                <w:sz w:val="18"/>
                <w:szCs w:val="18"/>
              </w:rPr>
              <w:t xml:space="preserve"> 2020 r.)  </w:t>
            </w:r>
          </w:p>
          <w:p w14:paraId="7D154755" w14:textId="77777777" w:rsidR="00F77547" w:rsidRDefault="00F77547" w:rsidP="00BC120E">
            <w:pPr>
              <w:jc w:val="both"/>
              <w:rPr>
                <w:i/>
                <w:sz w:val="18"/>
                <w:szCs w:val="20"/>
              </w:rPr>
            </w:pPr>
          </w:p>
          <w:p w14:paraId="764AC2E2" w14:textId="7008E243" w:rsidR="00B752EC" w:rsidRPr="00B752EC" w:rsidRDefault="00DE07D6" w:rsidP="00BC120E">
            <w:pPr>
              <w:jc w:val="both"/>
              <w:rPr>
                <w:sz w:val="18"/>
                <w:szCs w:val="20"/>
              </w:rPr>
            </w:pPr>
            <w:r>
              <w:rPr>
                <w:sz w:val="18"/>
                <w:szCs w:val="20"/>
              </w:rPr>
              <w:t>Na dzień 01.10</w:t>
            </w:r>
            <w:r w:rsidR="00B752EC" w:rsidRPr="00B752EC">
              <w:rPr>
                <w:sz w:val="18"/>
                <w:szCs w:val="20"/>
              </w:rPr>
              <w:t>.2020 r. kwota wyda</w:t>
            </w:r>
            <w:r w:rsidR="00B752EC">
              <w:rPr>
                <w:sz w:val="18"/>
                <w:szCs w:val="20"/>
              </w:rPr>
              <w:t xml:space="preserve">tków uznanych za kwalifikowalne </w:t>
            </w:r>
            <w:r w:rsidR="004371CA">
              <w:rPr>
                <w:sz w:val="18"/>
                <w:szCs w:val="20"/>
              </w:rPr>
              <w:t>(</w:t>
            </w:r>
            <w:r w:rsidR="00B752EC">
              <w:rPr>
                <w:sz w:val="18"/>
                <w:szCs w:val="20"/>
              </w:rPr>
              <w:t xml:space="preserve">względem wartości projektu) </w:t>
            </w:r>
            <w:r w:rsidR="00B752EC" w:rsidRPr="00B752EC">
              <w:rPr>
                <w:sz w:val="18"/>
                <w:szCs w:val="20"/>
              </w:rPr>
              <w:t xml:space="preserve">narastająco przekazana do certyfikacji to </w:t>
            </w:r>
            <w:r>
              <w:rPr>
                <w:sz w:val="18"/>
                <w:szCs w:val="20"/>
              </w:rPr>
              <w:t xml:space="preserve">10 379 994,12. </w:t>
            </w:r>
          </w:p>
          <w:p w14:paraId="0F418863" w14:textId="77777777" w:rsidR="00350057" w:rsidRPr="00350057" w:rsidRDefault="00350057" w:rsidP="00565517">
            <w:pPr>
              <w:rPr>
                <w:i/>
                <w:sz w:val="18"/>
                <w:szCs w:val="18"/>
              </w:rPr>
            </w:pPr>
          </w:p>
        </w:tc>
      </w:tr>
      <w:tr w:rsidR="007A0A3D" w:rsidRPr="002450C4" w14:paraId="13BA634C" w14:textId="77777777" w:rsidTr="00920CE8">
        <w:tc>
          <w:tcPr>
            <w:tcW w:w="480" w:type="dxa"/>
          </w:tcPr>
          <w:p w14:paraId="60447738" w14:textId="77777777" w:rsidR="007A0A3D" w:rsidRPr="002450C4" w:rsidRDefault="007A0A3D" w:rsidP="007A0A3D">
            <w:pPr>
              <w:pStyle w:val="Akapitzlist"/>
              <w:numPr>
                <w:ilvl w:val="0"/>
                <w:numId w:val="1"/>
              </w:numPr>
              <w:rPr>
                <w:sz w:val="18"/>
                <w:szCs w:val="20"/>
              </w:rPr>
            </w:pPr>
          </w:p>
        </w:tc>
        <w:tc>
          <w:tcPr>
            <w:tcW w:w="2350" w:type="dxa"/>
          </w:tcPr>
          <w:p w14:paraId="3D9E8493" w14:textId="77777777" w:rsidR="007A0A3D" w:rsidRPr="002450C4" w:rsidRDefault="005A4344">
            <w:pPr>
              <w:rPr>
                <w:sz w:val="18"/>
                <w:szCs w:val="20"/>
              </w:rPr>
            </w:pPr>
            <w:r>
              <w:rPr>
                <w:sz w:val="18"/>
                <w:szCs w:val="20"/>
              </w:rPr>
              <w:t>Postęp rzeczowy</w:t>
            </w:r>
          </w:p>
        </w:tc>
        <w:tc>
          <w:tcPr>
            <w:tcW w:w="6232" w:type="dxa"/>
          </w:tcPr>
          <w:p w14:paraId="5CD98D1F" w14:textId="4059AD2D" w:rsidR="009A4CD3" w:rsidRDefault="009A4CD3" w:rsidP="009A4CD3">
            <w:pPr>
              <w:jc w:val="both"/>
              <w:rPr>
                <w:rFonts w:ascii="Calibri" w:hAnsi="Calibri" w:cs="Calibri"/>
                <w:bCs/>
                <w:color w:val="000000"/>
                <w:sz w:val="18"/>
                <w:szCs w:val="18"/>
              </w:rPr>
            </w:pPr>
            <w:r w:rsidRPr="003470D0">
              <w:rPr>
                <w:rFonts w:ascii="Calibri" w:hAnsi="Calibri" w:cs="Calibri"/>
                <w:bCs/>
                <w:color w:val="000000"/>
                <w:sz w:val="18"/>
                <w:szCs w:val="18"/>
                <w:u w:val="single"/>
              </w:rPr>
              <w:t>Zadanie 1</w:t>
            </w:r>
            <w:r w:rsidRPr="003470D0">
              <w:rPr>
                <w:rFonts w:ascii="Calibri" w:hAnsi="Calibri" w:cs="Calibri"/>
                <w:bCs/>
                <w:color w:val="000000"/>
                <w:sz w:val="18"/>
                <w:szCs w:val="18"/>
              </w:rPr>
              <w:t xml:space="preserve"> - </w:t>
            </w:r>
            <w:r w:rsidRPr="003470D0">
              <w:rPr>
                <w:rFonts w:ascii="Calibri" w:hAnsi="Calibri" w:cs="Calibri"/>
                <w:bCs/>
                <w:color w:val="000000"/>
                <w:sz w:val="18"/>
                <w:szCs w:val="18"/>
                <w:u w:val="single"/>
              </w:rPr>
              <w:t>Przygotowanie projektu,</w:t>
            </w:r>
            <w:r w:rsidRPr="003470D0">
              <w:rPr>
                <w:rFonts w:ascii="Calibri" w:hAnsi="Calibri" w:cs="Calibri"/>
                <w:bCs/>
                <w:color w:val="000000"/>
                <w:sz w:val="18"/>
                <w:szCs w:val="18"/>
              </w:rPr>
              <w:t xml:space="preserve"> data rozpoczęcia - 01.01.2017, planowana data zakończenia - 28.06.2017, data faktycznego zakończenia - 23.06.2017.</w:t>
            </w:r>
          </w:p>
          <w:p w14:paraId="0A0E94A5" w14:textId="64837D09" w:rsidR="00603CD5" w:rsidRDefault="00603CD5" w:rsidP="009A4CD3">
            <w:pPr>
              <w:jc w:val="both"/>
              <w:rPr>
                <w:rFonts w:ascii="Calibri" w:hAnsi="Calibri" w:cs="Calibri"/>
                <w:bCs/>
                <w:color w:val="000000"/>
                <w:sz w:val="18"/>
                <w:szCs w:val="18"/>
              </w:rPr>
            </w:pPr>
            <w:r>
              <w:rPr>
                <w:rFonts w:ascii="Calibri" w:hAnsi="Calibri" w:cs="Calibri"/>
                <w:bCs/>
                <w:color w:val="000000"/>
                <w:sz w:val="18"/>
                <w:szCs w:val="18"/>
              </w:rPr>
              <w:t xml:space="preserve">Opracowano pełną dokumentacje projektową w celu złożenia Wniosku o Dofinansowanie. </w:t>
            </w:r>
          </w:p>
          <w:p w14:paraId="3D5645F2" w14:textId="77777777" w:rsidR="0092569F" w:rsidRDefault="0092569F" w:rsidP="009A4CD3">
            <w:pPr>
              <w:jc w:val="both"/>
              <w:rPr>
                <w:rFonts w:ascii="Calibri" w:hAnsi="Calibri" w:cs="Calibri"/>
                <w:bCs/>
                <w:color w:val="000000"/>
                <w:sz w:val="18"/>
                <w:szCs w:val="18"/>
              </w:rPr>
            </w:pPr>
          </w:p>
          <w:p w14:paraId="6D13C39E" w14:textId="101ED98D" w:rsidR="009A4CD3" w:rsidRDefault="009A4CD3" w:rsidP="009A4CD3">
            <w:pPr>
              <w:jc w:val="both"/>
              <w:rPr>
                <w:rFonts w:ascii="Calibri" w:hAnsi="Calibri" w:cs="Calibri"/>
                <w:bCs/>
                <w:color w:val="000000" w:themeColor="text1"/>
                <w:sz w:val="18"/>
                <w:szCs w:val="18"/>
              </w:rPr>
            </w:pPr>
            <w:r w:rsidRPr="003470D0">
              <w:rPr>
                <w:rFonts w:ascii="Calibri" w:hAnsi="Calibri" w:cs="Calibri"/>
                <w:bCs/>
                <w:color w:val="000000"/>
                <w:sz w:val="18"/>
                <w:szCs w:val="18"/>
                <w:u w:val="single"/>
              </w:rPr>
              <w:t>Zadanie 2 - Budowa API do 9 baz</w:t>
            </w:r>
            <w:r w:rsidRPr="003470D0">
              <w:rPr>
                <w:rFonts w:ascii="Calibri" w:hAnsi="Calibri" w:cs="Calibri"/>
                <w:bCs/>
                <w:color w:val="000000"/>
                <w:sz w:val="18"/>
                <w:szCs w:val="18"/>
              </w:rPr>
              <w:t>, data rozpoczęcia - 01.09.2017, planowana data zakończenia - 01.03.2019, data faktycznego zakończenia –</w:t>
            </w:r>
            <w:r w:rsidRPr="003470D0">
              <w:rPr>
                <w:rFonts w:ascii="Calibri" w:hAnsi="Calibri" w:cs="Calibri"/>
                <w:bCs/>
                <w:color w:val="FF0000"/>
                <w:sz w:val="18"/>
                <w:szCs w:val="18"/>
              </w:rPr>
              <w:t xml:space="preserve"> </w:t>
            </w:r>
            <w:r w:rsidRPr="003470D0">
              <w:rPr>
                <w:rFonts w:ascii="Calibri" w:hAnsi="Calibri" w:cs="Calibri"/>
                <w:bCs/>
                <w:color w:val="000000" w:themeColor="text1"/>
                <w:sz w:val="18"/>
                <w:szCs w:val="18"/>
              </w:rPr>
              <w:t>10.11.2019</w:t>
            </w:r>
          </w:p>
          <w:p w14:paraId="504E21EF" w14:textId="24133C44" w:rsidR="00603CD5" w:rsidRPr="003470D0" w:rsidRDefault="00603CD5" w:rsidP="003470D0">
            <w:pPr>
              <w:spacing w:before="120"/>
              <w:jc w:val="both"/>
              <w:rPr>
                <w:sz w:val="18"/>
                <w:szCs w:val="18"/>
              </w:rPr>
            </w:pPr>
            <w:r w:rsidRPr="003470D0">
              <w:rPr>
                <w:sz w:val="18"/>
                <w:szCs w:val="18"/>
              </w:rPr>
              <w:t>Liczba utworzonych API - 10</w:t>
            </w:r>
          </w:p>
          <w:p w14:paraId="2DC4A6A5" w14:textId="5D55E74E" w:rsidR="00B875E7" w:rsidRPr="00B875E7" w:rsidRDefault="00B875E7" w:rsidP="009A4CD3">
            <w:pPr>
              <w:jc w:val="both"/>
              <w:rPr>
                <w:rFonts w:ascii="Calibri" w:hAnsi="Calibri" w:cs="Calibri"/>
                <w:bCs/>
                <w:color w:val="000000" w:themeColor="text1"/>
                <w:sz w:val="18"/>
                <w:szCs w:val="18"/>
              </w:rPr>
            </w:pPr>
            <w:r w:rsidRPr="003470D0">
              <w:rPr>
                <w:color w:val="000000" w:themeColor="text1"/>
                <w:sz w:val="18"/>
                <w:szCs w:val="18"/>
              </w:rPr>
              <w:t>W trakcie prac nad budową API podjęto decyzję o zmianie struktury logicznej API NFZ i zamiast udostępnienia planowanych pierwotnie 4 API, NFZ udostępnił 6 API</w:t>
            </w:r>
            <w:r>
              <w:rPr>
                <w:color w:val="000000" w:themeColor="text1"/>
                <w:sz w:val="18"/>
                <w:szCs w:val="18"/>
              </w:rPr>
              <w:t>.</w:t>
            </w:r>
          </w:p>
          <w:p w14:paraId="692CB519" w14:textId="77777777" w:rsidR="00235287" w:rsidRDefault="00235287" w:rsidP="00235287">
            <w:pPr>
              <w:spacing w:before="120"/>
              <w:jc w:val="both"/>
              <w:rPr>
                <w:rFonts w:cstheme="minorHAnsi"/>
                <w:b/>
                <w:sz w:val="16"/>
                <w:szCs w:val="16"/>
              </w:rPr>
            </w:pPr>
            <w:r w:rsidRPr="00E04628">
              <w:rPr>
                <w:rFonts w:cstheme="minorHAnsi"/>
                <w:b/>
                <w:sz w:val="16"/>
                <w:szCs w:val="16"/>
              </w:rPr>
              <w:t xml:space="preserve">Nazwa Kamienia </w:t>
            </w:r>
            <w:r>
              <w:rPr>
                <w:rFonts w:cstheme="minorHAnsi"/>
                <w:b/>
                <w:sz w:val="16"/>
                <w:szCs w:val="16"/>
              </w:rPr>
              <w:t xml:space="preserve">milowego     </w:t>
            </w:r>
            <w:r w:rsidRPr="00E04628">
              <w:rPr>
                <w:rFonts w:cstheme="minorHAnsi"/>
                <w:b/>
                <w:sz w:val="16"/>
                <w:szCs w:val="16"/>
              </w:rPr>
              <w:t>Planowany</w:t>
            </w:r>
            <w:r>
              <w:rPr>
                <w:rFonts w:cstheme="minorHAnsi"/>
                <w:b/>
                <w:sz w:val="16"/>
                <w:szCs w:val="16"/>
              </w:rPr>
              <w:t xml:space="preserve">     </w:t>
            </w:r>
            <w:r w:rsidRPr="00E04628">
              <w:rPr>
                <w:rFonts w:cstheme="minorHAnsi"/>
                <w:b/>
                <w:sz w:val="16"/>
                <w:szCs w:val="16"/>
              </w:rPr>
              <w:t>Rzeczywisty</w:t>
            </w:r>
            <w:r>
              <w:rPr>
                <w:rFonts w:cstheme="minorHAnsi"/>
                <w:b/>
                <w:sz w:val="16"/>
                <w:szCs w:val="16"/>
              </w:rPr>
              <w:t xml:space="preserve">   </w:t>
            </w:r>
            <w:r w:rsidRPr="00E04628">
              <w:rPr>
                <w:rFonts w:cstheme="minorHAnsi"/>
                <w:b/>
                <w:sz w:val="16"/>
                <w:szCs w:val="16"/>
              </w:rPr>
              <w:t>Status realizacji</w:t>
            </w:r>
            <w:r>
              <w:rPr>
                <w:rFonts w:cstheme="minorHAnsi"/>
                <w:b/>
                <w:sz w:val="16"/>
                <w:szCs w:val="16"/>
              </w:rPr>
              <w:t xml:space="preserve"> </w:t>
            </w:r>
            <w:r w:rsidRPr="00E04628">
              <w:rPr>
                <w:rFonts w:cstheme="minorHAnsi"/>
                <w:b/>
                <w:sz w:val="16"/>
                <w:szCs w:val="16"/>
              </w:rPr>
              <w:t>kamienia</w:t>
            </w:r>
            <w:r>
              <w:rPr>
                <w:rFonts w:cstheme="minorHAnsi"/>
                <w:b/>
                <w:sz w:val="16"/>
                <w:szCs w:val="16"/>
              </w:rPr>
              <w:t xml:space="preserve"> milowego </w:t>
            </w:r>
          </w:p>
          <w:p w14:paraId="732C800F" w14:textId="77777777" w:rsidR="00235287" w:rsidRPr="000F1D4B" w:rsidRDefault="00235287" w:rsidP="00235287">
            <w:pPr>
              <w:jc w:val="both"/>
              <w:rPr>
                <w:rFonts w:cstheme="minorHAnsi"/>
                <w:b/>
                <w:color w:val="000000" w:themeColor="text1"/>
                <w:sz w:val="16"/>
                <w:szCs w:val="16"/>
              </w:rPr>
            </w:pPr>
            <w:r>
              <w:rPr>
                <w:rFonts w:cstheme="minorHAnsi"/>
                <w:color w:val="000000" w:themeColor="text1"/>
                <w:sz w:val="16"/>
                <w:szCs w:val="16"/>
              </w:rPr>
              <w:t xml:space="preserve">                                                     </w:t>
            </w:r>
            <w:r w:rsidRPr="000F1D4B">
              <w:rPr>
                <w:rFonts w:cstheme="minorHAnsi"/>
                <w:b/>
                <w:color w:val="000000" w:themeColor="text1"/>
                <w:sz w:val="16"/>
                <w:szCs w:val="16"/>
              </w:rPr>
              <w:t xml:space="preserve">termin            </w:t>
            </w:r>
            <w:proofErr w:type="spellStart"/>
            <w:r w:rsidRPr="000F1D4B">
              <w:rPr>
                <w:rFonts w:cstheme="minorHAnsi"/>
                <w:b/>
                <w:color w:val="000000" w:themeColor="text1"/>
                <w:sz w:val="16"/>
                <w:szCs w:val="16"/>
              </w:rPr>
              <w:t>termin</w:t>
            </w:r>
            <w:proofErr w:type="spellEnd"/>
          </w:p>
          <w:p w14:paraId="0D39A295" w14:textId="77777777" w:rsidR="00235287" w:rsidRPr="000F1D4B" w:rsidRDefault="00235287" w:rsidP="00235287">
            <w:pPr>
              <w:jc w:val="both"/>
              <w:rPr>
                <w:rFonts w:cstheme="minorHAnsi"/>
                <w:b/>
                <w:color w:val="000000" w:themeColor="text1"/>
                <w:sz w:val="16"/>
                <w:szCs w:val="16"/>
              </w:rPr>
            </w:pPr>
            <w:r w:rsidRPr="000F1D4B">
              <w:rPr>
                <w:rFonts w:cstheme="minorHAnsi"/>
                <w:b/>
                <w:color w:val="000000" w:themeColor="text1"/>
                <w:sz w:val="16"/>
                <w:szCs w:val="16"/>
              </w:rPr>
              <w:t xml:space="preserve">                                                     osiągnięcia    </w:t>
            </w:r>
            <w:proofErr w:type="spellStart"/>
            <w:r w:rsidRPr="000F1D4B">
              <w:rPr>
                <w:rFonts w:cstheme="minorHAnsi"/>
                <w:b/>
                <w:color w:val="000000" w:themeColor="text1"/>
                <w:sz w:val="16"/>
                <w:szCs w:val="16"/>
              </w:rPr>
              <w:t>osiągnięcia</w:t>
            </w:r>
            <w:proofErr w:type="spellEnd"/>
            <w:r w:rsidRPr="000F1D4B">
              <w:rPr>
                <w:rFonts w:cstheme="minorHAnsi"/>
                <w:b/>
                <w:color w:val="000000" w:themeColor="text1"/>
                <w:sz w:val="16"/>
                <w:szCs w:val="16"/>
              </w:rPr>
              <w:t xml:space="preserve">    </w:t>
            </w:r>
          </w:p>
          <w:p w14:paraId="771EED97" w14:textId="77777777" w:rsidR="00235287" w:rsidRDefault="00235287" w:rsidP="00235287">
            <w:pPr>
              <w:jc w:val="both"/>
              <w:rPr>
                <w:rFonts w:cstheme="minorHAnsi"/>
                <w:color w:val="000000" w:themeColor="text1"/>
                <w:sz w:val="16"/>
                <w:szCs w:val="16"/>
              </w:rPr>
            </w:pPr>
          </w:p>
          <w:p w14:paraId="788DB449" w14:textId="77777777" w:rsidR="00235287" w:rsidRDefault="00235287" w:rsidP="00235287">
            <w:pPr>
              <w:jc w:val="both"/>
              <w:rPr>
                <w:rFonts w:cstheme="minorHAnsi"/>
                <w:color w:val="000000" w:themeColor="text1"/>
                <w:sz w:val="16"/>
                <w:szCs w:val="16"/>
              </w:rPr>
            </w:pPr>
            <w:r w:rsidRPr="00E04628">
              <w:rPr>
                <w:rFonts w:cstheme="minorHAnsi"/>
                <w:color w:val="000000" w:themeColor="text1"/>
                <w:sz w:val="16"/>
                <w:szCs w:val="16"/>
              </w:rPr>
              <w:t xml:space="preserve">Zamieszczenie API do 9  </w:t>
            </w:r>
            <w:r>
              <w:rPr>
                <w:rFonts w:cstheme="minorHAnsi"/>
                <w:color w:val="000000" w:themeColor="text1"/>
                <w:sz w:val="16"/>
                <w:szCs w:val="16"/>
              </w:rPr>
              <w:t xml:space="preserve">         03.2019           11.2019            </w:t>
            </w:r>
          </w:p>
          <w:p w14:paraId="6F4A4D3A" w14:textId="77777777" w:rsidR="00235287" w:rsidRPr="000F1D4B" w:rsidRDefault="00235287" w:rsidP="00235287">
            <w:pPr>
              <w:jc w:val="both"/>
              <w:rPr>
                <w:rFonts w:cstheme="minorHAnsi"/>
                <w:color w:val="000000" w:themeColor="text1"/>
                <w:sz w:val="16"/>
                <w:szCs w:val="16"/>
              </w:rPr>
            </w:pPr>
            <w:r w:rsidRPr="00E04628">
              <w:rPr>
                <w:rFonts w:cstheme="minorHAnsi"/>
                <w:color w:val="000000" w:themeColor="text1"/>
                <w:sz w:val="16"/>
                <w:szCs w:val="16"/>
              </w:rPr>
              <w:t xml:space="preserve">baz na dane.gov.pl </w:t>
            </w:r>
          </w:p>
          <w:p w14:paraId="10819BE4" w14:textId="77777777" w:rsidR="00235287" w:rsidRPr="000F1D4B" w:rsidRDefault="00235287" w:rsidP="00235287">
            <w:pPr>
              <w:ind w:left="3578"/>
              <w:rPr>
                <w:rFonts w:cstheme="minorHAnsi"/>
                <w:color w:val="000000"/>
                <w:sz w:val="16"/>
                <w:szCs w:val="16"/>
              </w:rPr>
            </w:pPr>
            <w:r w:rsidRPr="00E04628">
              <w:rPr>
                <w:rFonts w:cstheme="minorHAnsi"/>
                <w:color w:val="000000" w:themeColor="text1"/>
                <w:sz w:val="16"/>
                <w:szCs w:val="16"/>
              </w:rPr>
              <w:t xml:space="preserve">Osiągnięty. Kamień milowy został osiągnięty w planowanym terminie w zakresie API </w:t>
            </w:r>
            <w:r w:rsidRPr="00E04628">
              <w:rPr>
                <w:rFonts w:cstheme="minorHAnsi"/>
                <w:color w:val="000000"/>
                <w:sz w:val="16"/>
                <w:szCs w:val="16"/>
              </w:rPr>
              <w:t xml:space="preserve">GUS BDL oraz NFZ Terminy Leczenia. Pozostałe bazy tj. </w:t>
            </w:r>
            <w:r w:rsidRPr="00E04628">
              <w:rPr>
                <w:rFonts w:cstheme="minorHAnsi"/>
                <w:color w:val="000000" w:themeColor="text1"/>
                <w:sz w:val="16"/>
                <w:szCs w:val="16"/>
              </w:rPr>
              <w:t>MC CEPIK, MF</w:t>
            </w:r>
            <w:r w:rsidRPr="00E04628" w:rsidDel="00284D41">
              <w:rPr>
                <w:rFonts w:cstheme="minorHAnsi"/>
                <w:color w:val="000000" w:themeColor="text1"/>
                <w:sz w:val="16"/>
                <w:szCs w:val="16"/>
              </w:rPr>
              <w:t xml:space="preserve"> </w:t>
            </w:r>
            <w:proofErr w:type="spellStart"/>
            <w:r w:rsidRPr="00E04628">
              <w:rPr>
                <w:rFonts w:cstheme="minorHAnsi"/>
                <w:color w:val="000000" w:themeColor="text1"/>
                <w:sz w:val="16"/>
                <w:szCs w:val="16"/>
              </w:rPr>
              <w:t>BeSTi</w:t>
            </w:r>
            <w:proofErr w:type="spellEnd"/>
            <w:r w:rsidRPr="00E04628">
              <w:rPr>
                <w:rFonts w:cstheme="minorHAnsi"/>
                <w:color w:val="000000" w:themeColor="text1"/>
                <w:sz w:val="16"/>
                <w:szCs w:val="16"/>
              </w:rPr>
              <w:t xml:space="preserve">@  i Statystyki NFZ - Refundacja Apteczna, Świadczenia, Leki oraz Umowy zostały udostępnione zgodnie z informacją zawartą w pkt 5. Nie został przekroczony termin krytyczny realizacji kamienia milowego określony w </w:t>
            </w:r>
            <w:proofErr w:type="spellStart"/>
            <w:r w:rsidRPr="00E04628">
              <w:rPr>
                <w:rFonts w:cstheme="minorHAnsi"/>
                <w:color w:val="000000" w:themeColor="text1"/>
                <w:sz w:val="16"/>
                <w:szCs w:val="16"/>
              </w:rPr>
              <w:t>WoD</w:t>
            </w:r>
            <w:proofErr w:type="spellEnd"/>
            <w:r w:rsidRPr="00E04628">
              <w:rPr>
                <w:rFonts w:cstheme="minorHAnsi"/>
                <w:color w:val="000000" w:themeColor="text1"/>
                <w:sz w:val="16"/>
                <w:szCs w:val="16"/>
              </w:rPr>
              <w:t xml:space="preserve">. Opóźnienie NFZ spowodowane było  zmianami struktury danych (w związku ze zmianami prawnymi), a w przypadku MC - przedłużającymi się pracami nad </w:t>
            </w:r>
            <w:proofErr w:type="spellStart"/>
            <w:r w:rsidRPr="00E04628">
              <w:rPr>
                <w:rFonts w:cstheme="minorHAnsi"/>
                <w:color w:val="000000" w:themeColor="text1"/>
                <w:sz w:val="16"/>
                <w:szCs w:val="16"/>
              </w:rPr>
              <w:t>CEPiK</w:t>
            </w:r>
            <w:proofErr w:type="spellEnd"/>
            <w:r w:rsidRPr="00E04628">
              <w:rPr>
                <w:rFonts w:cstheme="minorHAnsi"/>
                <w:color w:val="000000" w:themeColor="text1"/>
                <w:sz w:val="16"/>
                <w:szCs w:val="16"/>
              </w:rPr>
              <w:t xml:space="preserve"> 2.0 </w:t>
            </w:r>
          </w:p>
          <w:p w14:paraId="43067113" w14:textId="77777777" w:rsidR="00235287" w:rsidRPr="003470D0" w:rsidRDefault="00235287" w:rsidP="009A4CD3">
            <w:pPr>
              <w:jc w:val="both"/>
              <w:rPr>
                <w:rFonts w:ascii="Calibri" w:hAnsi="Calibri" w:cs="Calibri"/>
                <w:bCs/>
                <w:color w:val="000000"/>
                <w:sz w:val="18"/>
                <w:szCs w:val="18"/>
              </w:rPr>
            </w:pPr>
          </w:p>
          <w:p w14:paraId="1D1D132D" w14:textId="77777777" w:rsidR="009A4CD3" w:rsidRPr="003470D0" w:rsidRDefault="009A4CD3" w:rsidP="009A4CD3">
            <w:pPr>
              <w:jc w:val="both"/>
              <w:rPr>
                <w:rFonts w:ascii="Calibri" w:hAnsi="Calibri" w:cs="Calibri"/>
                <w:bCs/>
                <w:color w:val="000000"/>
                <w:sz w:val="18"/>
                <w:szCs w:val="18"/>
              </w:rPr>
            </w:pPr>
          </w:p>
          <w:p w14:paraId="10DD3653" w14:textId="7CF31560" w:rsidR="009A4CD3" w:rsidRDefault="009A4CD3" w:rsidP="009A4CD3">
            <w:pPr>
              <w:jc w:val="both"/>
              <w:rPr>
                <w:rFonts w:ascii="Calibri" w:hAnsi="Calibri" w:cs="Calibri"/>
                <w:bCs/>
                <w:color w:val="000000"/>
                <w:sz w:val="18"/>
                <w:szCs w:val="18"/>
              </w:rPr>
            </w:pPr>
            <w:r w:rsidRPr="003470D0">
              <w:rPr>
                <w:rFonts w:ascii="Calibri" w:hAnsi="Calibri" w:cs="Calibri"/>
                <w:bCs/>
                <w:color w:val="000000"/>
                <w:sz w:val="18"/>
                <w:szCs w:val="18"/>
                <w:u w:val="single"/>
              </w:rPr>
              <w:t>Zadanie 3 - Rozbudowa DanePubliczne.gov.pl,</w:t>
            </w:r>
            <w:r w:rsidRPr="003470D0">
              <w:rPr>
                <w:rFonts w:ascii="Calibri" w:hAnsi="Calibri" w:cs="Calibri"/>
                <w:bCs/>
                <w:color w:val="000000"/>
                <w:sz w:val="18"/>
                <w:szCs w:val="18"/>
              </w:rPr>
              <w:t xml:space="preserve"> data rozpoczęcia - 01.06.2017, planowana data zakończenia - 01.04.2020, data faktycznego zakończenia – 01.04.2020</w:t>
            </w:r>
            <w:r w:rsidR="00AB1E9B">
              <w:rPr>
                <w:rFonts w:ascii="Calibri" w:hAnsi="Calibri" w:cs="Calibri"/>
                <w:bCs/>
                <w:color w:val="000000"/>
                <w:sz w:val="18"/>
                <w:szCs w:val="18"/>
              </w:rPr>
              <w:t>.</w:t>
            </w:r>
          </w:p>
          <w:p w14:paraId="28D7B839" w14:textId="77777777" w:rsidR="00AB1E9B" w:rsidRPr="0068614E" w:rsidRDefault="00AB1E9B" w:rsidP="00AB1E9B">
            <w:pPr>
              <w:spacing w:before="120"/>
              <w:jc w:val="both"/>
              <w:rPr>
                <w:sz w:val="18"/>
                <w:szCs w:val="20"/>
              </w:rPr>
            </w:pPr>
            <w:r w:rsidRPr="0068614E">
              <w:rPr>
                <w:sz w:val="18"/>
                <w:szCs w:val="20"/>
              </w:rPr>
              <w:t>W ramach rozwoju portalu danepubliczne.gov.pl założono rozbudowę warstwy informacyjno-edukacyjnej dla różnych grup odbiorców ( m.in. poprzez stworzenie specjalnych narzędzi dla zaawansowanych użytkowników); usprawnienia wyszukiwania danych – przez wyszukiwarkę semantyczną; ułatwienie podglądu danych i ich wizualizację z wykorzystaniem najlepszych wzorów z portali otwartych danych. Portal miał być oparty na otwartym oprogramowaniu CKAN. Po pierwsze portal został udostępniony pod nową domeną dane.gov.pl i zyskał nową szatę graficzną. Zmiana w stosunku do założeń objęła zastosowane technologie. Podjęto decyzję o odejściu od technologii CKAN, która okazała się zbyt przestarzała i niewspierana przez społeczność (</w:t>
            </w:r>
            <w:proofErr w:type="spellStart"/>
            <w:r w:rsidRPr="0068614E">
              <w:rPr>
                <w:sz w:val="18"/>
                <w:szCs w:val="20"/>
              </w:rPr>
              <w:t>frameworki</w:t>
            </w:r>
            <w:proofErr w:type="spellEnd"/>
            <w:r w:rsidRPr="0068614E">
              <w:rPr>
                <w:sz w:val="18"/>
                <w:szCs w:val="20"/>
              </w:rPr>
              <w:t xml:space="preserve"> CKAN) na korzyść rozwiązań </w:t>
            </w:r>
            <w:r w:rsidRPr="0068614E">
              <w:rPr>
                <w:sz w:val="18"/>
                <w:szCs w:val="20"/>
              </w:rPr>
              <w:lastRenderedPageBreak/>
              <w:t xml:space="preserve">autorskich, opartych na oprogramowaniu </w:t>
            </w:r>
            <w:proofErr w:type="spellStart"/>
            <w:r w:rsidRPr="0068614E">
              <w:rPr>
                <w:sz w:val="18"/>
                <w:szCs w:val="20"/>
              </w:rPr>
              <w:t>opensource</w:t>
            </w:r>
            <w:proofErr w:type="spellEnd"/>
            <w:r w:rsidRPr="0068614E">
              <w:rPr>
                <w:sz w:val="18"/>
                <w:szCs w:val="20"/>
              </w:rPr>
              <w:t xml:space="preserve">. Pomimo tak istotnej zmiany w Projekcie i budowy portalu dane.gov.pl „od nowa” udało się wdrożyć wszystkie planowane funkcjonalności, z zastrzeżeniem wyszukiwarki semantycznej. W 2017/2018 r. nie istniały na rynku gotowe algorytmy budowania bazy wiedzy dla języka polskiego. Przetłumaczenie języka naturalnego na język zrozumiały dla algorytmu jest bardzo trudnym zadaniem. Analiza języka naturalnego dokumentów, ale także zapytań do wyszukiwarki musi obejmować wieloznaczność, specyfikę języka itp.  Z tego względu tworzenie własnej wyszukiwarki semantycznej wiązałoby się z prowadzeniem prac badawczo-rozwojowych, których zakres i koszt znacznie przekraczał możliwości organizacyjne Projektu. </w:t>
            </w:r>
          </w:p>
          <w:p w14:paraId="6C559885" w14:textId="77777777" w:rsidR="000A2E7D" w:rsidRDefault="000A2E7D" w:rsidP="009A4CD3">
            <w:pPr>
              <w:jc w:val="both"/>
              <w:rPr>
                <w:rFonts w:ascii="Calibri" w:hAnsi="Calibri" w:cs="Calibri"/>
                <w:bCs/>
                <w:color w:val="000000"/>
                <w:sz w:val="18"/>
                <w:szCs w:val="18"/>
              </w:rPr>
            </w:pPr>
          </w:p>
          <w:p w14:paraId="00DA9973" w14:textId="77777777" w:rsidR="000A2E7D" w:rsidRDefault="000A2E7D" w:rsidP="000A2E7D">
            <w:pPr>
              <w:spacing w:before="120"/>
              <w:jc w:val="both"/>
              <w:rPr>
                <w:rFonts w:cstheme="minorHAnsi"/>
                <w:b/>
                <w:sz w:val="16"/>
                <w:szCs w:val="16"/>
              </w:rPr>
            </w:pPr>
            <w:r w:rsidRPr="00E04628">
              <w:rPr>
                <w:rFonts w:cstheme="minorHAnsi"/>
                <w:b/>
                <w:sz w:val="16"/>
                <w:szCs w:val="16"/>
              </w:rPr>
              <w:t xml:space="preserve">Nazwa Kamienia </w:t>
            </w:r>
            <w:r>
              <w:rPr>
                <w:rFonts w:cstheme="minorHAnsi"/>
                <w:b/>
                <w:sz w:val="16"/>
                <w:szCs w:val="16"/>
              </w:rPr>
              <w:t xml:space="preserve">milowego     </w:t>
            </w:r>
            <w:r w:rsidRPr="00E04628">
              <w:rPr>
                <w:rFonts w:cstheme="minorHAnsi"/>
                <w:b/>
                <w:sz w:val="16"/>
                <w:szCs w:val="16"/>
              </w:rPr>
              <w:t>Planowany</w:t>
            </w:r>
            <w:r>
              <w:rPr>
                <w:rFonts w:cstheme="minorHAnsi"/>
                <w:b/>
                <w:sz w:val="16"/>
                <w:szCs w:val="16"/>
              </w:rPr>
              <w:t xml:space="preserve">     </w:t>
            </w:r>
            <w:r w:rsidRPr="00E04628">
              <w:rPr>
                <w:rFonts w:cstheme="minorHAnsi"/>
                <w:b/>
                <w:sz w:val="16"/>
                <w:szCs w:val="16"/>
              </w:rPr>
              <w:t>Rzeczywisty</w:t>
            </w:r>
            <w:r>
              <w:rPr>
                <w:rFonts w:cstheme="minorHAnsi"/>
                <w:b/>
                <w:sz w:val="16"/>
                <w:szCs w:val="16"/>
              </w:rPr>
              <w:t xml:space="preserve">   </w:t>
            </w:r>
            <w:r w:rsidRPr="00E04628">
              <w:rPr>
                <w:rFonts w:cstheme="minorHAnsi"/>
                <w:b/>
                <w:sz w:val="16"/>
                <w:szCs w:val="16"/>
              </w:rPr>
              <w:t>Status realizacji</w:t>
            </w:r>
            <w:r>
              <w:rPr>
                <w:rFonts w:cstheme="minorHAnsi"/>
                <w:b/>
                <w:sz w:val="16"/>
                <w:szCs w:val="16"/>
              </w:rPr>
              <w:t xml:space="preserve"> </w:t>
            </w:r>
            <w:r w:rsidRPr="00E04628">
              <w:rPr>
                <w:rFonts w:cstheme="minorHAnsi"/>
                <w:b/>
                <w:sz w:val="16"/>
                <w:szCs w:val="16"/>
              </w:rPr>
              <w:t>kamienia</w:t>
            </w:r>
            <w:r>
              <w:rPr>
                <w:rFonts w:cstheme="minorHAnsi"/>
                <w:b/>
                <w:sz w:val="16"/>
                <w:szCs w:val="16"/>
              </w:rPr>
              <w:t xml:space="preserve"> milowego </w:t>
            </w:r>
          </w:p>
          <w:p w14:paraId="5D3D75CA" w14:textId="77777777" w:rsidR="000A2E7D" w:rsidRPr="000F1D4B" w:rsidRDefault="000A2E7D" w:rsidP="000A2E7D">
            <w:pPr>
              <w:jc w:val="both"/>
              <w:rPr>
                <w:rFonts w:cstheme="minorHAnsi"/>
                <w:b/>
                <w:color w:val="000000" w:themeColor="text1"/>
                <w:sz w:val="16"/>
                <w:szCs w:val="16"/>
              </w:rPr>
            </w:pPr>
            <w:r>
              <w:rPr>
                <w:rFonts w:cstheme="minorHAnsi"/>
                <w:color w:val="000000" w:themeColor="text1"/>
                <w:sz w:val="16"/>
                <w:szCs w:val="16"/>
              </w:rPr>
              <w:t xml:space="preserve">                                                     </w:t>
            </w:r>
            <w:r w:rsidRPr="000F1D4B">
              <w:rPr>
                <w:rFonts w:cstheme="minorHAnsi"/>
                <w:b/>
                <w:color w:val="000000" w:themeColor="text1"/>
                <w:sz w:val="16"/>
                <w:szCs w:val="16"/>
              </w:rPr>
              <w:t xml:space="preserve">termin            </w:t>
            </w:r>
            <w:proofErr w:type="spellStart"/>
            <w:r w:rsidRPr="000F1D4B">
              <w:rPr>
                <w:rFonts w:cstheme="minorHAnsi"/>
                <w:b/>
                <w:color w:val="000000" w:themeColor="text1"/>
                <w:sz w:val="16"/>
                <w:szCs w:val="16"/>
              </w:rPr>
              <w:t>termin</w:t>
            </w:r>
            <w:proofErr w:type="spellEnd"/>
          </w:p>
          <w:p w14:paraId="19DCBC40" w14:textId="77777777" w:rsidR="000A2E7D" w:rsidRPr="000F1D4B" w:rsidRDefault="000A2E7D" w:rsidP="000A2E7D">
            <w:pPr>
              <w:jc w:val="both"/>
              <w:rPr>
                <w:rFonts w:cstheme="minorHAnsi"/>
                <w:b/>
                <w:color w:val="000000" w:themeColor="text1"/>
                <w:sz w:val="16"/>
                <w:szCs w:val="16"/>
              </w:rPr>
            </w:pPr>
            <w:r w:rsidRPr="000F1D4B">
              <w:rPr>
                <w:rFonts w:cstheme="minorHAnsi"/>
                <w:b/>
                <w:color w:val="000000" w:themeColor="text1"/>
                <w:sz w:val="16"/>
                <w:szCs w:val="16"/>
              </w:rPr>
              <w:t xml:space="preserve">                                                     osiągnięcia    </w:t>
            </w:r>
            <w:proofErr w:type="spellStart"/>
            <w:r w:rsidRPr="000F1D4B">
              <w:rPr>
                <w:rFonts w:cstheme="minorHAnsi"/>
                <w:b/>
                <w:color w:val="000000" w:themeColor="text1"/>
                <w:sz w:val="16"/>
                <w:szCs w:val="16"/>
              </w:rPr>
              <w:t>osiągnięcia</w:t>
            </w:r>
            <w:proofErr w:type="spellEnd"/>
            <w:r w:rsidRPr="000F1D4B">
              <w:rPr>
                <w:rFonts w:cstheme="minorHAnsi"/>
                <w:b/>
                <w:color w:val="000000" w:themeColor="text1"/>
                <w:sz w:val="16"/>
                <w:szCs w:val="16"/>
              </w:rPr>
              <w:t xml:space="preserve">    </w:t>
            </w:r>
          </w:p>
          <w:p w14:paraId="67E2B1E4" w14:textId="068BD3C1" w:rsidR="000A2E7D" w:rsidRDefault="000A2E7D" w:rsidP="000A2E7D">
            <w:pPr>
              <w:jc w:val="both"/>
              <w:rPr>
                <w:rFonts w:cstheme="minorHAnsi"/>
                <w:color w:val="000000" w:themeColor="text1"/>
                <w:sz w:val="16"/>
                <w:szCs w:val="16"/>
              </w:rPr>
            </w:pPr>
            <w:r w:rsidRPr="00E04628">
              <w:rPr>
                <w:rFonts w:cstheme="minorHAnsi"/>
                <w:color w:val="000000" w:themeColor="text1"/>
                <w:sz w:val="16"/>
                <w:szCs w:val="16"/>
              </w:rPr>
              <w:t xml:space="preserve">Uruchomienie produkcyjne </w:t>
            </w:r>
            <w:r>
              <w:rPr>
                <w:rFonts w:cstheme="minorHAnsi"/>
                <w:color w:val="000000" w:themeColor="text1"/>
                <w:sz w:val="16"/>
                <w:szCs w:val="16"/>
              </w:rPr>
              <w:t xml:space="preserve">   10.2019          09.2018              Osiągnięty</w:t>
            </w:r>
          </w:p>
          <w:p w14:paraId="7ECF7960" w14:textId="77777777" w:rsidR="000A2E7D" w:rsidRDefault="000A2E7D" w:rsidP="000A2E7D">
            <w:pPr>
              <w:jc w:val="both"/>
              <w:rPr>
                <w:rFonts w:cstheme="minorHAnsi"/>
                <w:color w:val="000000" w:themeColor="text1"/>
                <w:sz w:val="16"/>
                <w:szCs w:val="16"/>
              </w:rPr>
            </w:pPr>
            <w:r w:rsidRPr="00E04628">
              <w:rPr>
                <w:rFonts w:cstheme="minorHAnsi"/>
                <w:color w:val="000000" w:themeColor="text1"/>
                <w:sz w:val="16"/>
                <w:szCs w:val="16"/>
              </w:rPr>
              <w:t xml:space="preserve">rozbudowanego portalu </w:t>
            </w:r>
          </w:p>
          <w:p w14:paraId="78705A3F" w14:textId="77777777" w:rsidR="000A2E7D" w:rsidRDefault="000A2E7D" w:rsidP="000A2E7D">
            <w:pPr>
              <w:jc w:val="both"/>
              <w:rPr>
                <w:rFonts w:cstheme="minorHAnsi"/>
                <w:color w:val="000000" w:themeColor="text1"/>
                <w:sz w:val="16"/>
                <w:szCs w:val="16"/>
              </w:rPr>
            </w:pPr>
            <w:r w:rsidRPr="00E04628">
              <w:rPr>
                <w:rFonts w:cstheme="minorHAnsi"/>
                <w:color w:val="000000" w:themeColor="text1"/>
                <w:sz w:val="16"/>
                <w:szCs w:val="16"/>
              </w:rPr>
              <w:t>danepubliczne.gov.pl</w:t>
            </w:r>
          </w:p>
          <w:p w14:paraId="09432531" w14:textId="77777777" w:rsidR="000A2E7D" w:rsidRDefault="000A2E7D" w:rsidP="000A2E7D">
            <w:pPr>
              <w:jc w:val="both"/>
              <w:rPr>
                <w:rFonts w:cstheme="minorHAnsi"/>
                <w:color w:val="000000" w:themeColor="text1"/>
                <w:sz w:val="16"/>
                <w:szCs w:val="16"/>
              </w:rPr>
            </w:pPr>
          </w:p>
          <w:p w14:paraId="6FF6777A" w14:textId="1462A055" w:rsidR="000A2E7D" w:rsidRDefault="000A2E7D" w:rsidP="000A2E7D">
            <w:pPr>
              <w:jc w:val="both"/>
              <w:rPr>
                <w:rFonts w:cstheme="minorHAnsi"/>
                <w:color w:val="000000" w:themeColor="text1"/>
                <w:sz w:val="16"/>
                <w:szCs w:val="16"/>
              </w:rPr>
            </w:pPr>
            <w:r w:rsidRPr="00E04628">
              <w:rPr>
                <w:rFonts w:cstheme="minorHAnsi"/>
                <w:color w:val="000000" w:themeColor="text1"/>
                <w:sz w:val="16"/>
                <w:szCs w:val="16"/>
              </w:rPr>
              <w:t xml:space="preserve">Dodanie treści do warstwy </w:t>
            </w:r>
            <w:r>
              <w:rPr>
                <w:rFonts w:cstheme="minorHAnsi"/>
                <w:color w:val="000000" w:themeColor="text1"/>
                <w:sz w:val="16"/>
                <w:szCs w:val="16"/>
              </w:rPr>
              <w:t xml:space="preserve">     04.2020         </w:t>
            </w:r>
            <w:r w:rsidR="0014105A">
              <w:rPr>
                <w:rFonts w:cstheme="minorHAnsi"/>
                <w:color w:val="000000" w:themeColor="text1"/>
                <w:sz w:val="16"/>
                <w:szCs w:val="16"/>
              </w:rPr>
              <w:t xml:space="preserve"> 04.2020             </w:t>
            </w:r>
            <w:r>
              <w:rPr>
                <w:rFonts w:cstheme="minorHAnsi"/>
                <w:color w:val="000000" w:themeColor="text1"/>
                <w:sz w:val="16"/>
                <w:szCs w:val="16"/>
              </w:rPr>
              <w:t xml:space="preserve"> Osiągnięty</w:t>
            </w:r>
          </w:p>
          <w:p w14:paraId="5D5289BD" w14:textId="77777777" w:rsidR="000A2E7D" w:rsidRDefault="000A2E7D" w:rsidP="000A2E7D">
            <w:pPr>
              <w:jc w:val="both"/>
              <w:rPr>
                <w:rFonts w:cstheme="minorHAnsi"/>
                <w:color w:val="000000" w:themeColor="text1"/>
                <w:sz w:val="16"/>
                <w:szCs w:val="16"/>
              </w:rPr>
            </w:pPr>
            <w:r w:rsidRPr="00E04628">
              <w:rPr>
                <w:rFonts w:cstheme="minorHAnsi"/>
                <w:color w:val="000000" w:themeColor="text1"/>
                <w:sz w:val="16"/>
                <w:szCs w:val="16"/>
              </w:rPr>
              <w:t xml:space="preserve">edukacyjnej i </w:t>
            </w:r>
          </w:p>
          <w:p w14:paraId="427B12C4" w14:textId="77777777" w:rsidR="000A2E7D" w:rsidRDefault="000A2E7D" w:rsidP="000A2E7D">
            <w:pPr>
              <w:jc w:val="both"/>
              <w:rPr>
                <w:rFonts w:cstheme="minorHAnsi"/>
                <w:color w:val="000000" w:themeColor="text1"/>
                <w:sz w:val="16"/>
                <w:szCs w:val="16"/>
              </w:rPr>
            </w:pPr>
            <w:r w:rsidRPr="00E04628">
              <w:rPr>
                <w:rFonts w:cstheme="minorHAnsi"/>
                <w:color w:val="000000" w:themeColor="text1"/>
                <w:sz w:val="16"/>
                <w:szCs w:val="16"/>
              </w:rPr>
              <w:t>społecznościowej portalu</w:t>
            </w:r>
          </w:p>
          <w:p w14:paraId="2AC91FED" w14:textId="77777777" w:rsidR="000A2E7D" w:rsidRPr="003470D0" w:rsidRDefault="000A2E7D" w:rsidP="009A4CD3">
            <w:pPr>
              <w:jc w:val="both"/>
              <w:rPr>
                <w:rFonts w:ascii="Calibri" w:hAnsi="Calibri" w:cs="Calibri"/>
                <w:bCs/>
                <w:color w:val="000000"/>
                <w:sz w:val="18"/>
                <w:szCs w:val="18"/>
              </w:rPr>
            </w:pPr>
          </w:p>
          <w:p w14:paraId="7DC6254F" w14:textId="0DBDE75A" w:rsidR="009A4CD3" w:rsidRPr="003470D0" w:rsidRDefault="009A4CD3" w:rsidP="009A4CD3">
            <w:pPr>
              <w:jc w:val="both"/>
              <w:rPr>
                <w:rFonts w:ascii="Calibri" w:hAnsi="Calibri" w:cs="Calibri"/>
                <w:bCs/>
                <w:color w:val="000000"/>
                <w:sz w:val="18"/>
                <w:szCs w:val="18"/>
              </w:rPr>
            </w:pPr>
          </w:p>
          <w:p w14:paraId="34A58F68" w14:textId="4E7B5415" w:rsidR="000A2E7D" w:rsidRDefault="009A4CD3" w:rsidP="009A4CD3">
            <w:pPr>
              <w:jc w:val="both"/>
              <w:rPr>
                <w:rFonts w:ascii="Calibri" w:hAnsi="Calibri" w:cs="Calibri"/>
                <w:color w:val="000000"/>
                <w:sz w:val="18"/>
                <w:szCs w:val="18"/>
              </w:rPr>
            </w:pPr>
            <w:r w:rsidRPr="003470D0">
              <w:rPr>
                <w:rFonts w:ascii="Calibri" w:hAnsi="Calibri" w:cs="Calibri"/>
                <w:bCs/>
                <w:color w:val="000000"/>
                <w:sz w:val="18"/>
                <w:szCs w:val="18"/>
                <w:u w:val="single"/>
              </w:rPr>
              <w:t>Zadanie 4 - Opracowanie standardów otwartości danych,</w:t>
            </w:r>
            <w:r w:rsidRPr="003470D0">
              <w:rPr>
                <w:rFonts w:ascii="Calibri" w:hAnsi="Calibri" w:cs="Calibri"/>
                <w:bCs/>
                <w:color w:val="000000"/>
                <w:sz w:val="18"/>
                <w:szCs w:val="18"/>
              </w:rPr>
              <w:t xml:space="preserve"> data rozpoczęcia - 01.06.2017, planowana data zakończenia </w:t>
            </w:r>
            <w:r w:rsidR="00F05E0A" w:rsidRPr="003470D0">
              <w:rPr>
                <w:rFonts w:ascii="Calibri" w:hAnsi="Calibri" w:cs="Calibri"/>
                <w:bCs/>
                <w:color w:val="000000"/>
                <w:sz w:val="18"/>
                <w:szCs w:val="18"/>
              </w:rPr>
              <w:t>– 01.04.2018</w:t>
            </w:r>
            <w:r w:rsidRPr="003470D0">
              <w:rPr>
                <w:rFonts w:ascii="Calibri" w:hAnsi="Calibri" w:cs="Calibri"/>
                <w:color w:val="000000"/>
                <w:sz w:val="18"/>
                <w:szCs w:val="18"/>
              </w:rPr>
              <w:t xml:space="preserve">, </w:t>
            </w:r>
            <w:r w:rsidRPr="003470D0">
              <w:rPr>
                <w:rFonts w:ascii="Calibri" w:hAnsi="Calibri" w:cs="Calibri"/>
                <w:bCs/>
                <w:color w:val="000000"/>
                <w:sz w:val="18"/>
                <w:szCs w:val="18"/>
              </w:rPr>
              <w:t xml:space="preserve">data faktycznego zakończenia - </w:t>
            </w:r>
            <w:r w:rsidR="00F05E0A" w:rsidRPr="003470D0">
              <w:rPr>
                <w:rFonts w:ascii="Calibri" w:hAnsi="Calibri" w:cs="Calibri"/>
                <w:color w:val="000000"/>
                <w:sz w:val="18"/>
                <w:szCs w:val="18"/>
              </w:rPr>
              <w:t>30.06.2018</w:t>
            </w:r>
          </w:p>
          <w:p w14:paraId="1F74EE6A" w14:textId="2355FFEF" w:rsidR="00363EA9" w:rsidRDefault="00363EA9" w:rsidP="009A4CD3">
            <w:pPr>
              <w:jc w:val="both"/>
              <w:rPr>
                <w:rFonts w:ascii="Calibri" w:hAnsi="Calibri" w:cs="Calibri"/>
                <w:color w:val="000000"/>
                <w:sz w:val="18"/>
                <w:szCs w:val="18"/>
              </w:rPr>
            </w:pPr>
            <w:r>
              <w:rPr>
                <w:rFonts w:ascii="Calibri" w:hAnsi="Calibri" w:cs="Calibri"/>
                <w:color w:val="000000"/>
                <w:sz w:val="18"/>
                <w:szCs w:val="18"/>
              </w:rPr>
              <w:t>Opracowano oraz udostępniono na portalu standardy otwartości danych w zakresie technicznym, bezpieczeństwa, prawnym</w:t>
            </w:r>
            <w:r w:rsidR="00603CD5">
              <w:rPr>
                <w:rFonts w:ascii="Calibri" w:hAnsi="Calibri" w:cs="Calibri"/>
                <w:color w:val="000000"/>
                <w:sz w:val="18"/>
                <w:szCs w:val="18"/>
              </w:rPr>
              <w:t xml:space="preserve"> </w:t>
            </w:r>
            <w:r>
              <w:rPr>
                <w:rFonts w:ascii="Calibri" w:hAnsi="Calibri" w:cs="Calibri"/>
                <w:color w:val="000000"/>
                <w:sz w:val="18"/>
                <w:szCs w:val="18"/>
              </w:rPr>
              <w:t>i API.</w:t>
            </w:r>
          </w:p>
          <w:p w14:paraId="1271F441" w14:textId="5C85663B" w:rsidR="005060CE" w:rsidRDefault="002672D8" w:rsidP="009A4CD3">
            <w:pPr>
              <w:jc w:val="both"/>
              <w:rPr>
                <w:rFonts w:ascii="Calibri" w:hAnsi="Calibri" w:cs="Calibri"/>
                <w:color w:val="000000"/>
                <w:sz w:val="18"/>
                <w:szCs w:val="18"/>
              </w:rPr>
            </w:pPr>
            <w:r w:rsidRPr="0085317E">
              <w:rPr>
                <w:rFonts w:ascii="Calibri" w:hAnsi="Calibri" w:cs="Calibri"/>
                <w:color w:val="000000"/>
                <w:sz w:val="18"/>
                <w:szCs w:val="18"/>
              </w:rPr>
              <w:t>Dodatkowo</w:t>
            </w:r>
            <w:r w:rsidR="00C475C8">
              <w:rPr>
                <w:rFonts w:ascii="Calibri" w:hAnsi="Calibri" w:cs="Calibri"/>
                <w:color w:val="000000"/>
                <w:sz w:val="18"/>
                <w:szCs w:val="18"/>
              </w:rPr>
              <w:t>,</w:t>
            </w:r>
            <w:r w:rsidRPr="0085317E">
              <w:rPr>
                <w:rFonts w:ascii="Calibri" w:hAnsi="Calibri" w:cs="Calibri"/>
                <w:color w:val="000000"/>
                <w:sz w:val="18"/>
                <w:szCs w:val="18"/>
              </w:rPr>
              <w:t xml:space="preserve"> w celu oceny użyteczności udostępnionych standardów</w:t>
            </w:r>
            <w:r w:rsidR="00C475C8">
              <w:rPr>
                <w:rFonts w:ascii="Calibri" w:hAnsi="Calibri" w:cs="Calibri"/>
                <w:color w:val="000000"/>
                <w:sz w:val="18"/>
                <w:szCs w:val="18"/>
              </w:rPr>
              <w:t xml:space="preserve"> zdecydowano na przeprowadzenie szerokich konsultacji publicznych</w:t>
            </w:r>
            <w:r w:rsidRPr="0085317E">
              <w:rPr>
                <w:rFonts w:ascii="Calibri" w:hAnsi="Calibri" w:cs="Calibri"/>
                <w:color w:val="000000"/>
                <w:sz w:val="18"/>
                <w:szCs w:val="18"/>
              </w:rPr>
              <w:t xml:space="preserve">. W ich wyniku standardy uzupełniono o zagadnienia wskazane w procesie konsultacji, co wpłynie na łatwość ich stosowania, a docelowo przełoży się na wzrost jakości danych udostępnianych przez administrację, a wykorzystywanych w produktach, aplikacjach czy usługach. </w:t>
            </w:r>
            <w:r w:rsidR="00057B26">
              <w:rPr>
                <w:rFonts w:ascii="Calibri" w:hAnsi="Calibri" w:cs="Calibri"/>
                <w:color w:val="000000"/>
                <w:sz w:val="18"/>
                <w:szCs w:val="18"/>
              </w:rPr>
              <w:t xml:space="preserve">Działanie to zostało </w:t>
            </w:r>
            <w:r w:rsidR="00C475C8">
              <w:rPr>
                <w:rFonts w:ascii="Calibri" w:hAnsi="Calibri" w:cs="Calibri"/>
                <w:color w:val="000000"/>
                <w:sz w:val="18"/>
                <w:szCs w:val="18"/>
              </w:rPr>
              <w:t>z</w:t>
            </w:r>
            <w:r w:rsidR="00057B26">
              <w:rPr>
                <w:rFonts w:ascii="Calibri" w:hAnsi="Calibri" w:cs="Calibri"/>
                <w:color w:val="000000"/>
                <w:sz w:val="18"/>
                <w:szCs w:val="18"/>
              </w:rPr>
              <w:t>realizowane</w:t>
            </w:r>
            <w:r w:rsidRPr="0085317E">
              <w:rPr>
                <w:rFonts w:ascii="Calibri" w:hAnsi="Calibri" w:cs="Calibri"/>
                <w:color w:val="000000"/>
                <w:sz w:val="18"/>
                <w:szCs w:val="18"/>
              </w:rPr>
              <w:t xml:space="preserve"> w ramach </w:t>
            </w:r>
            <w:r w:rsidR="00C475C8">
              <w:rPr>
                <w:rFonts w:ascii="Calibri" w:hAnsi="Calibri" w:cs="Calibri"/>
                <w:color w:val="000000"/>
                <w:sz w:val="18"/>
                <w:szCs w:val="18"/>
              </w:rPr>
              <w:t>pierwotnych założeń budżetowych.</w:t>
            </w:r>
          </w:p>
          <w:p w14:paraId="2AC0D43C" w14:textId="77777777" w:rsidR="005060CE" w:rsidRDefault="005060CE" w:rsidP="005060CE">
            <w:pPr>
              <w:spacing w:before="120"/>
              <w:jc w:val="both"/>
              <w:rPr>
                <w:rFonts w:cstheme="minorHAnsi"/>
                <w:b/>
                <w:sz w:val="16"/>
                <w:szCs w:val="16"/>
              </w:rPr>
            </w:pPr>
            <w:r w:rsidRPr="00E04628">
              <w:rPr>
                <w:rFonts w:cstheme="minorHAnsi"/>
                <w:b/>
                <w:sz w:val="16"/>
                <w:szCs w:val="16"/>
              </w:rPr>
              <w:t xml:space="preserve">Nazwa Kamienia </w:t>
            </w:r>
            <w:r>
              <w:rPr>
                <w:rFonts w:cstheme="minorHAnsi"/>
                <w:b/>
                <w:sz w:val="16"/>
                <w:szCs w:val="16"/>
              </w:rPr>
              <w:t xml:space="preserve">milowego     </w:t>
            </w:r>
            <w:r w:rsidRPr="00E04628">
              <w:rPr>
                <w:rFonts w:cstheme="minorHAnsi"/>
                <w:b/>
                <w:sz w:val="16"/>
                <w:szCs w:val="16"/>
              </w:rPr>
              <w:t>Planowany</w:t>
            </w:r>
            <w:r>
              <w:rPr>
                <w:rFonts w:cstheme="minorHAnsi"/>
                <w:b/>
                <w:sz w:val="16"/>
                <w:szCs w:val="16"/>
              </w:rPr>
              <w:t xml:space="preserve">     </w:t>
            </w:r>
            <w:r w:rsidRPr="00E04628">
              <w:rPr>
                <w:rFonts w:cstheme="minorHAnsi"/>
                <w:b/>
                <w:sz w:val="16"/>
                <w:szCs w:val="16"/>
              </w:rPr>
              <w:t>Rzeczywisty</w:t>
            </w:r>
            <w:r>
              <w:rPr>
                <w:rFonts w:cstheme="minorHAnsi"/>
                <w:b/>
                <w:sz w:val="16"/>
                <w:szCs w:val="16"/>
              </w:rPr>
              <w:t xml:space="preserve">   </w:t>
            </w:r>
            <w:r w:rsidRPr="00E04628">
              <w:rPr>
                <w:rFonts w:cstheme="minorHAnsi"/>
                <w:b/>
                <w:sz w:val="16"/>
                <w:szCs w:val="16"/>
              </w:rPr>
              <w:t>Status realizacji</w:t>
            </w:r>
            <w:r>
              <w:rPr>
                <w:rFonts w:cstheme="minorHAnsi"/>
                <w:b/>
                <w:sz w:val="16"/>
                <w:szCs w:val="16"/>
              </w:rPr>
              <w:t xml:space="preserve"> </w:t>
            </w:r>
            <w:r w:rsidRPr="00E04628">
              <w:rPr>
                <w:rFonts w:cstheme="minorHAnsi"/>
                <w:b/>
                <w:sz w:val="16"/>
                <w:szCs w:val="16"/>
              </w:rPr>
              <w:t>kamienia</w:t>
            </w:r>
            <w:r>
              <w:rPr>
                <w:rFonts w:cstheme="minorHAnsi"/>
                <w:b/>
                <w:sz w:val="16"/>
                <w:szCs w:val="16"/>
              </w:rPr>
              <w:t xml:space="preserve"> milowego </w:t>
            </w:r>
          </w:p>
          <w:p w14:paraId="429ADA36" w14:textId="77777777" w:rsidR="005060CE" w:rsidRPr="000F1D4B" w:rsidRDefault="005060CE" w:rsidP="005060CE">
            <w:pPr>
              <w:jc w:val="both"/>
              <w:rPr>
                <w:rFonts w:cstheme="minorHAnsi"/>
                <w:b/>
                <w:color w:val="000000" w:themeColor="text1"/>
                <w:sz w:val="16"/>
                <w:szCs w:val="16"/>
              </w:rPr>
            </w:pPr>
            <w:r>
              <w:rPr>
                <w:rFonts w:cstheme="minorHAnsi"/>
                <w:color w:val="000000" w:themeColor="text1"/>
                <w:sz w:val="16"/>
                <w:szCs w:val="16"/>
              </w:rPr>
              <w:t xml:space="preserve">                                                     </w:t>
            </w:r>
            <w:r w:rsidRPr="000F1D4B">
              <w:rPr>
                <w:rFonts w:cstheme="minorHAnsi"/>
                <w:b/>
                <w:color w:val="000000" w:themeColor="text1"/>
                <w:sz w:val="16"/>
                <w:szCs w:val="16"/>
              </w:rPr>
              <w:t xml:space="preserve">termin            </w:t>
            </w:r>
            <w:proofErr w:type="spellStart"/>
            <w:r w:rsidRPr="000F1D4B">
              <w:rPr>
                <w:rFonts w:cstheme="minorHAnsi"/>
                <w:b/>
                <w:color w:val="000000" w:themeColor="text1"/>
                <w:sz w:val="16"/>
                <w:szCs w:val="16"/>
              </w:rPr>
              <w:t>termin</w:t>
            </w:r>
            <w:proofErr w:type="spellEnd"/>
          </w:p>
          <w:p w14:paraId="49B23058" w14:textId="77777777" w:rsidR="005060CE" w:rsidRPr="000F1D4B" w:rsidRDefault="005060CE" w:rsidP="005060CE">
            <w:pPr>
              <w:jc w:val="both"/>
              <w:rPr>
                <w:rFonts w:cstheme="minorHAnsi"/>
                <w:b/>
                <w:color w:val="000000" w:themeColor="text1"/>
                <w:sz w:val="16"/>
                <w:szCs w:val="16"/>
              </w:rPr>
            </w:pPr>
            <w:r w:rsidRPr="000F1D4B">
              <w:rPr>
                <w:rFonts w:cstheme="minorHAnsi"/>
                <w:b/>
                <w:color w:val="000000" w:themeColor="text1"/>
                <w:sz w:val="16"/>
                <w:szCs w:val="16"/>
              </w:rPr>
              <w:t xml:space="preserve">                                                     osiągnięcia    </w:t>
            </w:r>
            <w:proofErr w:type="spellStart"/>
            <w:r w:rsidRPr="000F1D4B">
              <w:rPr>
                <w:rFonts w:cstheme="minorHAnsi"/>
                <w:b/>
                <w:color w:val="000000" w:themeColor="text1"/>
                <w:sz w:val="16"/>
                <w:szCs w:val="16"/>
              </w:rPr>
              <w:t>osiągnięcia</w:t>
            </w:r>
            <w:proofErr w:type="spellEnd"/>
            <w:r w:rsidRPr="000F1D4B">
              <w:rPr>
                <w:rFonts w:cstheme="minorHAnsi"/>
                <w:b/>
                <w:color w:val="000000" w:themeColor="text1"/>
                <w:sz w:val="16"/>
                <w:szCs w:val="16"/>
              </w:rPr>
              <w:t xml:space="preserve">    </w:t>
            </w:r>
          </w:p>
          <w:p w14:paraId="14EB87AE" w14:textId="77777777" w:rsidR="005060CE" w:rsidRDefault="005060CE" w:rsidP="009A4CD3">
            <w:pPr>
              <w:jc w:val="both"/>
              <w:rPr>
                <w:rFonts w:ascii="Calibri" w:hAnsi="Calibri" w:cs="Calibri"/>
                <w:color w:val="000000"/>
                <w:sz w:val="18"/>
                <w:szCs w:val="18"/>
              </w:rPr>
            </w:pPr>
          </w:p>
          <w:p w14:paraId="735730F6" w14:textId="173FF728" w:rsidR="005060CE" w:rsidRDefault="005060CE" w:rsidP="005060CE">
            <w:pPr>
              <w:jc w:val="both"/>
              <w:rPr>
                <w:rFonts w:cstheme="minorHAnsi"/>
                <w:color w:val="000000" w:themeColor="text1"/>
                <w:sz w:val="16"/>
                <w:szCs w:val="16"/>
              </w:rPr>
            </w:pPr>
            <w:r w:rsidRPr="00E04628">
              <w:rPr>
                <w:rFonts w:cstheme="minorHAnsi"/>
                <w:color w:val="000000" w:themeColor="text1"/>
                <w:sz w:val="16"/>
                <w:szCs w:val="16"/>
              </w:rPr>
              <w:t xml:space="preserve">Opublikowanie standardów </w:t>
            </w:r>
            <w:r>
              <w:rPr>
                <w:rFonts w:cstheme="minorHAnsi"/>
                <w:color w:val="000000" w:themeColor="text1"/>
                <w:sz w:val="16"/>
                <w:szCs w:val="16"/>
              </w:rPr>
              <w:t xml:space="preserve">  04.2018        </w:t>
            </w:r>
            <w:r w:rsidR="00746310">
              <w:rPr>
                <w:rFonts w:cstheme="minorHAnsi"/>
                <w:color w:val="000000" w:themeColor="text1"/>
                <w:sz w:val="16"/>
                <w:szCs w:val="16"/>
              </w:rPr>
              <w:t xml:space="preserve">   </w:t>
            </w:r>
            <w:r>
              <w:rPr>
                <w:rFonts w:cstheme="minorHAnsi"/>
                <w:color w:val="000000" w:themeColor="text1"/>
                <w:sz w:val="16"/>
                <w:szCs w:val="16"/>
              </w:rPr>
              <w:t xml:space="preserve">06.2018    </w:t>
            </w:r>
          </w:p>
          <w:p w14:paraId="72FE4CD1" w14:textId="77777777" w:rsidR="005060CE" w:rsidRDefault="005060CE" w:rsidP="005060CE">
            <w:pPr>
              <w:jc w:val="both"/>
              <w:rPr>
                <w:rFonts w:cstheme="minorHAnsi"/>
                <w:color w:val="000000" w:themeColor="text1"/>
                <w:sz w:val="16"/>
                <w:szCs w:val="16"/>
              </w:rPr>
            </w:pPr>
            <w:r w:rsidRPr="00E04628">
              <w:rPr>
                <w:rFonts w:cstheme="minorHAnsi"/>
                <w:color w:val="000000" w:themeColor="text1"/>
                <w:sz w:val="16"/>
                <w:szCs w:val="16"/>
              </w:rPr>
              <w:t>otwartości danych</w:t>
            </w:r>
          </w:p>
          <w:p w14:paraId="20D5ED15" w14:textId="1A701489" w:rsidR="005060CE" w:rsidRDefault="00746310" w:rsidP="003470D0">
            <w:pPr>
              <w:ind w:left="3720" w:hanging="426"/>
              <w:rPr>
                <w:rFonts w:cstheme="minorHAnsi"/>
                <w:color w:val="000000" w:themeColor="text1"/>
                <w:sz w:val="16"/>
                <w:szCs w:val="16"/>
              </w:rPr>
            </w:pPr>
            <w:r>
              <w:rPr>
                <w:rFonts w:cstheme="minorHAnsi"/>
                <w:color w:val="000000" w:themeColor="text1"/>
                <w:sz w:val="16"/>
                <w:szCs w:val="16"/>
              </w:rPr>
              <w:t xml:space="preserve">            </w:t>
            </w:r>
            <w:r w:rsidR="005060CE" w:rsidRPr="00E04628">
              <w:rPr>
                <w:rFonts w:cstheme="minorHAnsi"/>
                <w:color w:val="000000" w:themeColor="text1"/>
                <w:sz w:val="16"/>
                <w:szCs w:val="16"/>
              </w:rPr>
              <w:t>Osiągnięty</w:t>
            </w:r>
            <w:r w:rsidR="005060CE">
              <w:rPr>
                <w:rFonts w:cstheme="minorHAnsi"/>
                <w:color w:val="000000" w:themeColor="text1"/>
                <w:sz w:val="16"/>
                <w:szCs w:val="16"/>
              </w:rPr>
              <w:t xml:space="preserve">. </w:t>
            </w:r>
            <w:r w:rsidR="005060CE" w:rsidRPr="00E04628">
              <w:rPr>
                <w:rFonts w:cstheme="minorHAnsi"/>
                <w:color w:val="000000" w:themeColor="text1"/>
                <w:sz w:val="16"/>
                <w:szCs w:val="16"/>
              </w:rPr>
              <w:t>Opóźnienie spowodowane było długotrwałymi postępowaniami o udzielenie zamówień (w tym brak ofert). Na opóźnienie terminu miały również wpływ powszechne konsultacje publiczne i bardzo duże zainteresowanie zgłaszaniem uwag. Termin krytyczny nie został przekroczony</w:t>
            </w:r>
          </w:p>
          <w:p w14:paraId="755295B9" w14:textId="77777777" w:rsidR="0085317E" w:rsidRDefault="0085317E" w:rsidP="003470D0">
            <w:pPr>
              <w:ind w:left="3720" w:hanging="426"/>
              <w:rPr>
                <w:rFonts w:cstheme="minorHAnsi"/>
                <w:color w:val="000000" w:themeColor="text1"/>
                <w:sz w:val="16"/>
                <w:szCs w:val="16"/>
              </w:rPr>
            </w:pPr>
          </w:p>
          <w:p w14:paraId="6959DDEA" w14:textId="1BD74FE0" w:rsidR="00F05E0A" w:rsidRPr="003470D0" w:rsidRDefault="00F05E0A" w:rsidP="009A4CD3">
            <w:pPr>
              <w:jc w:val="both"/>
              <w:rPr>
                <w:rFonts w:ascii="Calibri" w:hAnsi="Calibri" w:cs="Calibri"/>
                <w:color w:val="000000"/>
                <w:sz w:val="18"/>
                <w:szCs w:val="18"/>
              </w:rPr>
            </w:pPr>
          </w:p>
          <w:p w14:paraId="4BEA7E1D" w14:textId="7DF4EB7C" w:rsidR="00F05E0A" w:rsidRDefault="00F05E0A" w:rsidP="00F05E0A">
            <w:pPr>
              <w:jc w:val="both"/>
              <w:rPr>
                <w:rFonts w:ascii="Calibri" w:hAnsi="Calibri" w:cs="Calibri"/>
                <w:bCs/>
                <w:color w:val="000000"/>
                <w:sz w:val="18"/>
                <w:szCs w:val="18"/>
              </w:rPr>
            </w:pPr>
            <w:r w:rsidRPr="003470D0">
              <w:rPr>
                <w:rFonts w:ascii="Calibri" w:hAnsi="Calibri" w:cs="Calibri"/>
                <w:bCs/>
                <w:color w:val="000000"/>
                <w:sz w:val="18"/>
                <w:szCs w:val="18"/>
                <w:u w:val="single"/>
              </w:rPr>
              <w:t>Zadanie 5 - Szkolenia  dla administracji,</w:t>
            </w:r>
            <w:r w:rsidRPr="003470D0">
              <w:rPr>
                <w:rFonts w:ascii="Calibri" w:hAnsi="Calibri" w:cs="Calibri"/>
                <w:bCs/>
                <w:color w:val="000000"/>
                <w:sz w:val="18"/>
                <w:szCs w:val="18"/>
              </w:rPr>
              <w:t xml:space="preserve"> data rozpoczęcia - 01.06.2017, planowana data zakończenia - 01.02.2020, data faktycznego zakończenia - 31.05.2019</w:t>
            </w:r>
          </w:p>
          <w:p w14:paraId="62DF2ADB" w14:textId="20BF3336" w:rsidR="007570AE" w:rsidRPr="00E81A21" w:rsidRDefault="007570AE" w:rsidP="007570AE">
            <w:pPr>
              <w:jc w:val="both"/>
              <w:rPr>
                <w:rFonts w:ascii="Calibri" w:hAnsi="Calibri" w:cs="Calibri"/>
                <w:bCs/>
                <w:color w:val="000000"/>
                <w:sz w:val="18"/>
                <w:szCs w:val="18"/>
              </w:rPr>
            </w:pPr>
            <w:r w:rsidRPr="000D1DB0">
              <w:rPr>
                <w:rFonts w:ascii="Calibri" w:hAnsi="Calibri" w:cs="Calibri"/>
                <w:bCs/>
                <w:color w:val="000000"/>
                <w:sz w:val="18"/>
                <w:szCs w:val="18"/>
              </w:rPr>
              <w:t>W trakcie realizacji Projektu przeszkolono 685 urzędników urzędów centralnych ( w tym pełnomocników ds. otwartości) z otwierania danych i stosowania standardów otwartości danych. To 285 przeszkolonych  więcej niż pierwotnie zakładano. Ze względu na bardzo duże zainteresowanie uruchomiono dodatkowe szkolenia. Ponadto w wyniku prowadzonej ewaluacji on-</w:t>
            </w:r>
            <w:proofErr w:type="spellStart"/>
            <w:r w:rsidRPr="000D1DB0">
              <w:rPr>
                <w:rFonts w:ascii="Calibri" w:hAnsi="Calibri" w:cs="Calibri"/>
                <w:bCs/>
                <w:color w:val="000000"/>
                <w:sz w:val="18"/>
                <w:szCs w:val="18"/>
              </w:rPr>
              <w:t>going</w:t>
            </w:r>
            <w:proofErr w:type="spellEnd"/>
            <w:r w:rsidRPr="000D1DB0">
              <w:rPr>
                <w:rFonts w:ascii="Calibri" w:hAnsi="Calibri" w:cs="Calibri"/>
                <w:bCs/>
                <w:color w:val="000000"/>
                <w:sz w:val="18"/>
                <w:szCs w:val="18"/>
              </w:rPr>
              <w:t xml:space="preserve"> działań szkoleniowych, ich program był dostosowywany do potrzeb zgłaszanych przez uczestników m.in. poprzez dodanie zawansowanego modułu do szkoleń z technicznych aspektów otwierania danych.</w:t>
            </w:r>
            <w:r>
              <w:rPr>
                <w:rFonts w:ascii="Calibri" w:hAnsi="Calibri" w:cs="Calibri"/>
                <w:bCs/>
                <w:color w:val="000000"/>
                <w:sz w:val="18"/>
                <w:szCs w:val="18"/>
              </w:rPr>
              <w:t xml:space="preserve"> </w:t>
            </w:r>
            <w:r w:rsidR="00C475C8">
              <w:rPr>
                <w:rFonts w:ascii="Calibri" w:hAnsi="Calibri" w:cs="Calibri"/>
                <w:color w:val="000000"/>
                <w:sz w:val="18"/>
                <w:szCs w:val="18"/>
              </w:rPr>
              <w:t>Działania dodatkowe z</w:t>
            </w:r>
            <w:r w:rsidR="00C475C8" w:rsidRPr="0085317E">
              <w:rPr>
                <w:rFonts w:ascii="Calibri" w:hAnsi="Calibri" w:cs="Calibri"/>
                <w:color w:val="000000"/>
                <w:sz w:val="18"/>
                <w:szCs w:val="18"/>
              </w:rPr>
              <w:t xml:space="preserve">realizowano w ramach </w:t>
            </w:r>
            <w:r w:rsidR="00C475C8">
              <w:rPr>
                <w:rFonts w:ascii="Calibri" w:hAnsi="Calibri" w:cs="Calibri"/>
                <w:color w:val="000000"/>
                <w:sz w:val="18"/>
                <w:szCs w:val="18"/>
              </w:rPr>
              <w:t>pierwotnych założeń budżetowych.</w:t>
            </w:r>
          </w:p>
          <w:p w14:paraId="568D40C7" w14:textId="77777777" w:rsidR="000A2E7D" w:rsidRDefault="000A2E7D" w:rsidP="00F05E0A">
            <w:pPr>
              <w:jc w:val="both"/>
              <w:rPr>
                <w:rFonts w:ascii="Calibri" w:hAnsi="Calibri" w:cs="Calibri"/>
                <w:bCs/>
                <w:color w:val="000000"/>
                <w:sz w:val="18"/>
                <w:szCs w:val="18"/>
              </w:rPr>
            </w:pPr>
          </w:p>
          <w:p w14:paraId="37F2A087" w14:textId="77777777" w:rsidR="0075134D" w:rsidRDefault="0075134D" w:rsidP="00F05E0A">
            <w:pPr>
              <w:jc w:val="both"/>
              <w:rPr>
                <w:rFonts w:ascii="Calibri" w:hAnsi="Calibri" w:cs="Calibri"/>
                <w:bCs/>
                <w:color w:val="000000"/>
                <w:sz w:val="18"/>
                <w:szCs w:val="18"/>
              </w:rPr>
            </w:pPr>
          </w:p>
          <w:p w14:paraId="273D8B42" w14:textId="77777777" w:rsidR="000A2E7D" w:rsidRDefault="000A2E7D" w:rsidP="000A2E7D">
            <w:pPr>
              <w:spacing w:before="120"/>
              <w:jc w:val="both"/>
              <w:rPr>
                <w:rFonts w:cstheme="minorHAnsi"/>
                <w:b/>
                <w:sz w:val="16"/>
                <w:szCs w:val="16"/>
              </w:rPr>
            </w:pPr>
            <w:r w:rsidRPr="00E04628">
              <w:rPr>
                <w:rFonts w:cstheme="minorHAnsi"/>
                <w:b/>
                <w:sz w:val="16"/>
                <w:szCs w:val="16"/>
              </w:rPr>
              <w:lastRenderedPageBreak/>
              <w:t xml:space="preserve">Nazwa Kamienia </w:t>
            </w:r>
            <w:r>
              <w:rPr>
                <w:rFonts w:cstheme="minorHAnsi"/>
                <w:b/>
                <w:sz w:val="16"/>
                <w:szCs w:val="16"/>
              </w:rPr>
              <w:t xml:space="preserve">milowego     </w:t>
            </w:r>
            <w:r w:rsidRPr="00E04628">
              <w:rPr>
                <w:rFonts w:cstheme="minorHAnsi"/>
                <w:b/>
                <w:sz w:val="16"/>
                <w:szCs w:val="16"/>
              </w:rPr>
              <w:t>Planowany</w:t>
            </w:r>
            <w:r>
              <w:rPr>
                <w:rFonts w:cstheme="minorHAnsi"/>
                <w:b/>
                <w:sz w:val="16"/>
                <w:szCs w:val="16"/>
              </w:rPr>
              <w:t xml:space="preserve">     </w:t>
            </w:r>
            <w:r w:rsidRPr="00E04628">
              <w:rPr>
                <w:rFonts w:cstheme="minorHAnsi"/>
                <w:b/>
                <w:sz w:val="16"/>
                <w:szCs w:val="16"/>
              </w:rPr>
              <w:t>Rzeczywisty</w:t>
            </w:r>
            <w:r>
              <w:rPr>
                <w:rFonts w:cstheme="minorHAnsi"/>
                <w:b/>
                <w:sz w:val="16"/>
                <w:szCs w:val="16"/>
              </w:rPr>
              <w:t xml:space="preserve">   </w:t>
            </w:r>
            <w:r w:rsidRPr="00E04628">
              <w:rPr>
                <w:rFonts w:cstheme="minorHAnsi"/>
                <w:b/>
                <w:sz w:val="16"/>
                <w:szCs w:val="16"/>
              </w:rPr>
              <w:t>Status realizacji</w:t>
            </w:r>
            <w:r>
              <w:rPr>
                <w:rFonts w:cstheme="minorHAnsi"/>
                <w:b/>
                <w:sz w:val="16"/>
                <w:szCs w:val="16"/>
              </w:rPr>
              <w:t xml:space="preserve"> </w:t>
            </w:r>
            <w:r w:rsidRPr="00E04628">
              <w:rPr>
                <w:rFonts w:cstheme="minorHAnsi"/>
                <w:b/>
                <w:sz w:val="16"/>
                <w:szCs w:val="16"/>
              </w:rPr>
              <w:t>kamienia</w:t>
            </w:r>
            <w:r>
              <w:rPr>
                <w:rFonts w:cstheme="minorHAnsi"/>
                <w:b/>
                <w:sz w:val="16"/>
                <w:szCs w:val="16"/>
              </w:rPr>
              <w:t xml:space="preserve"> milowego </w:t>
            </w:r>
          </w:p>
          <w:p w14:paraId="7F141DB8" w14:textId="77777777" w:rsidR="000A2E7D" w:rsidRPr="000F1D4B" w:rsidRDefault="000A2E7D" w:rsidP="000A2E7D">
            <w:pPr>
              <w:jc w:val="both"/>
              <w:rPr>
                <w:rFonts w:cstheme="minorHAnsi"/>
                <w:b/>
                <w:color w:val="000000" w:themeColor="text1"/>
                <w:sz w:val="16"/>
                <w:szCs w:val="16"/>
              </w:rPr>
            </w:pPr>
            <w:r>
              <w:rPr>
                <w:rFonts w:cstheme="minorHAnsi"/>
                <w:color w:val="000000" w:themeColor="text1"/>
                <w:sz w:val="16"/>
                <w:szCs w:val="16"/>
              </w:rPr>
              <w:t xml:space="preserve">                                                     </w:t>
            </w:r>
            <w:r w:rsidRPr="000F1D4B">
              <w:rPr>
                <w:rFonts w:cstheme="minorHAnsi"/>
                <w:b/>
                <w:color w:val="000000" w:themeColor="text1"/>
                <w:sz w:val="16"/>
                <w:szCs w:val="16"/>
              </w:rPr>
              <w:t xml:space="preserve">termin            </w:t>
            </w:r>
            <w:proofErr w:type="spellStart"/>
            <w:r w:rsidRPr="000F1D4B">
              <w:rPr>
                <w:rFonts w:cstheme="minorHAnsi"/>
                <w:b/>
                <w:color w:val="000000" w:themeColor="text1"/>
                <w:sz w:val="16"/>
                <w:szCs w:val="16"/>
              </w:rPr>
              <w:t>termin</w:t>
            </w:r>
            <w:proofErr w:type="spellEnd"/>
          </w:p>
          <w:p w14:paraId="41C50545" w14:textId="77777777" w:rsidR="000A2E7D" w:rsidRPr="000F1D4B" w:rsidRDefault="000A2E7D" w:rsidP="000A2E7D">
            <w:pPr>
              <w:jc w:val="both"/>
              <w:rPr>
                <w:rFonts w:cstheme="minorHAnsi"/>
                <w:b/>
                <w:color w:val="000000" w:themeColor="text1"/>
                <w:sz w:val="16"/>
                <w:szCs w:val="16"/>
              </w:rPr>
            </w:pPr>
            <w:r w:rsidRPr="000F1D4B">
              <w:rPr>
                <w:rFonts w:cstheme="minorHAnsi"/>
                <w:b/>
                <w:color w:val="000000" w:themeColor="text1"/>
                <w:sz w:val="16"/>
                <w:szCs w:val="16"/>
              </w:rPr>
              <w:t xml:space="preserve">                                                     osiągnięcia    </w:t>
            </w:r>
            <w:proofErr w:type="spellStart"/>
            <w:r w:rsidRPr="000F1D4B">
              <w:rPr>
                <w:rFonts w:cstheme="minorHAnsi"/>
                <w:b/>
                <w:color w:val="000000" w:themeColor="text1"/>
                <w:sz w:val="16"/>
                <w:szCs w:val="16"/>
              </w:rPr>
              <w:t>osiągnięcia</w:t>
            </w:r>
            <w:proofErr w:type="spellEnd"/>
            <w:r w:rsidRPr="000F1D4B">
              <w:rPr>
                <w:rFonts w:cstheme="minorHAnsi"/>
                <w:b/>
                <w:color w:val="000000" w:themeColor="text1"/>
                <w:sz w:val="16"/>
                <w:szCs w:val="16"/>
              </w:rPr>
              <w:t xml:space="preserve">    </w:t>
            </w:r>
          </w:p>
          <w:p w14:paraId="4BAC2CBF" w14:textId="77777777" w:rsidR="000A2E7D" w:rsidRPr="003470D0" w:rsidRDefault="000A2E7D" w:rsidP="00F05E0A">
            <w:pPr>
              <w:jc w:val="both"/>
              <w:rPr>
                <w:rFonts w:ascii="Calibri" w:hAnsi="Calibri" w:cs="Calibri"/>
                <w:bCs/>
                <w:color w:val="000000"/>
                <w:sz w:val="18"/>
                <w:szCs w:val="18"/>
              </w:rPr>
            </w:pPr>
          </w:p>
          <w:p w14:paraId="7D8CC231" w14:textId="72053075" w:rsidR="000A2E7D" w:rsidRDefault="000A2E7D" w:rsidP="000A2E7D">
            <w:pPr>
              <w:jc w:val="both"/>
              <w:rPr>
                <w:rFonts w:cstheme="minorHAnsi"/>
                <w:color w:val="000000" w:themeColor="text1"/>
                <w:sz w:val="16"/>
                <w:szCs w:val="16"/>
              </w:rPr>
            </w:pPr>
            <w:r w:rsidRPr="00E04628">
              <w:rPr>
                <w:rFonts w:cstheme="minorHAnsi"/>
                <w:color w:val="000000" w:themeColor="text1"/>
                <w:sz w:val="16"/>
                <w:szCs w:val="16"/>
              </w:rPr>
              <w:t xml:space="preserve">Przeszkolenie 400 </w:t>
            </w:r>
            <w:r>
              <w:rPr>
                <w:rFonts w:cstheme="minorHAnsi"/>
                <w:color w:val="000000" w:themeColor="text1"/>
                <w:sz w:val="16"/>
                <w:szCs w:val="16"/>
              </w:rPr>
              <w:t xml:space="preserve">                    02.2020      </w:t>
            </w:r>
            <w:r w:rsidR="0075134D">
              <w:rPr>
                <w:rFonts w:cstheme="minorHAnsi"/>
                <w:color w:val="000000" w:themeColor="text1"/>
                <w:sz w:val="16"/>
                <w:szCs w:val="16"/>
              </w:rPr>
              <w:t xml:space="preserve">    </w:t>
            </w:r>
            <w:r>
              <w:rPr>
                <w:rFonts w:cstheme="minorHAnsi"/>
                <w:color w:val="000000" w:themeColor="text1"/>
                <w:sz w:val="16"/>
                <w:szCs w:val="16"/>
              </w:rPr>
              <w:t>05.2019                Osiągnięty</w:t>
            </w:r>
          </w:p>
          <w:p w14:paraId="1C02D0A8" w14:textId="77777777" w:rsidR="000A2E7D" w:rsidRDefault="000A2E7D" w:rsidP="000A2E7D">
            <w:pPr>
              <w:jc w:val="both"/>
              <w:rPr>
                <w:rFonts w:cstheme="minorHAnsi"/>
                <w:color w:val="000000" w:themeColor="text1"/>
                <w:sz w:val="16"/>
                <w:szCs w:val="16"/>
              </w:rPr>
            </w:pPr>
            <w:r w:rsidRPr="00E04628">
              <w:rPr>
                <w:rFonts w:cstheme="minorHAnsi"/>
                <w:color w:val="000000" w:themeColor="text1"/>
                <w:sz w:val="16"/>
                <w:szCs w:val="16"/>
              </w:rPr>
              <w:t xml:space="preserve">pracowników administracji </w:t>
            </w:r>
          </w:p>
          <w:p w14:paraId="330B8470" w14:textId="77777777" w:rsidR="000A2E7D" w:rsidRDefault="000A2E7D" w:rsidP="000A2E7D">
            <w:pPr>
              <w:jc w:val="both"/>
              <w:rPr>
                <w:rFonts w:cstheme="minorHAnsi"/>
                <w:color w:val="000000" w:themeColor="text1"/>
                <w:sz w:val="16"/>
                <w:szCs w:val="16"/>
              </w:rPr>
            </w:pPr>
            <w:r w:rsidRPr="00E04628">
              <w:rPr>
                <w:rFonts w:cstheme="minorHAnsi"/>
                <w:color w:val="000000" w:themeColor="text1"/>
                <w:sz w:val="16"/>
                <w:szCs w:val="16"/>
              </w:rPr>
              <w:t>centralnej</w:t>
            </w:r>
          </w:p>
          <w:p w14:paraId="08AEBBE5" w14:textId="77777777" w:rsidR="002672D8" w:rsidRDefault="002672D8" w:rsidP="000A2E7D">
            <w:pPr>
              <w:jc w:val="both"/>
              <w:rPr>
                <w:rFonts w:cstheme="minorHAnsi"/>
                <w:color w:val="000000" w:themeColor="text1"/>
                <w:sz w:val="16"/>
                <w:szCs w:val="16"/>
              </w:rPr>
            </w:pPr>
          </w:p>
          <w:p w14:paraId="16E87FD2" w14:textId="75B8E0E5" w:rsidR="00F05E0A" w:rsidRDefault="00F05E0A" w:rsidP="00F05E0A">
            <w:pPr>
              <w:jc w:val="both"/>
              <w:rPr>
                <w:rFonts w:ascii="Calibri" w:hAnsi="Calibri" w:cs="Calibri"/>
                <w:bCs/>
                <w:color w:val="000000"/>
                <w:sz w:val="18"/>
                <w:szCs w:val="18"/>
              </w:rPr>
            </w:pPr>
            <w:r w:rsidRPr="003470D0">
              <w:rPr>
                <w:rFonts w:ascii="Calibri" w:hAnsi="Calibri" w:cs="Calibri"/>
                <w:bCs/>
                <w:color w:val="000000"/>
                <w:sz w:val="18"/>
                <w:szCs w:val="18"/>
                <w:u w:val="single"/>
              </w:rPr>
              <w:t>Zadanie 6 - Promocja otwartości danych,</w:t>
            </w:r>
            <w:r w:rsidRPr="003470D0">
              <w:rPr>
                <w:rFonts w:ascii="Calibri" w:hAnsi="Calibri" w:cs="Calibri"/>
                <w:bCs/>
                <w:color w:val="000000"/>
                <w:sz w:val="18"/>
                <w:szCs w:val="18"/>
              </w:rPr>
              <w:t xml:space="preserve"> data rozpoczęcia - 01.08.2017, planowana data zakończenia - 01.02.2020, data faktycznego zakończenia – 01.04.2020</w:t>
            </w:r>
          </w:p>
          <w:p w14:paraId="70303BCB" w14:textId="77777777" w:rsidR="00363EA9" w:rsidRDefault="00363EA9" w:rsidP="00363EA9">
            <w:pPr>
              <w:jc w:val="both"/>
              <w:rPr>
                <w:rFonts w:ascii="Calibri" w:hAnsi="Calibri" w:cs="Calibri"/>
                <w:bCs/>
                <w:color w:val="000000"/>
                <w:sz w:val="18"/>
                <w:szCs w:val="18"/>
              </w:rPr>
            </w:pPr>
            <w:r>
              <w:rPr>
                <w:rFonts w:ascii="Calibri" w:hAnsi="Calibri" w:cs="Calibri"/>
                <w:bCs/>
                <w:color w:val="000000"/>
                <w:sz w:val="18"/>
                <w:szCs w:val="18"/>
              </w:rPr>
              <w:t xml:space="preserve">Przygotowano i przeprowadzono kampanię w </w:t>
            </w:r>
            <w:proofErr w:type="spellStart"/>
            <w:r>
              <w:rPr>
                <w:rFonts w:ascii="Calibri" w:hAnsi="Calibri" w:cs="Calibri"/>
                <w:bCs/>
                <w:color w:val="000000"/>
                <w:sz w:val="18"/>
                <w:szCs w:val="18"/>
              </w:rPr>
              <w:t>internecie</w:t>
            </w:r>
            <w:proofErr w:type="spellEnd"/>
            <w:r>
              <w:rPr>
                <w:rFonts w:ascii="Calibri" w:hAnsi="Calibri" w:cs="Calibri"/>
                <w:bCs/>
                <w:color w:val="000000"/>
                <w:sz w:val="18"/>
                <w:szCs w:val="18"/>
              </w:rPr>
              <w:t xml:space="preserve">; </w:t>
            </w:r>
            <w:r>
              <w:rPr>
                <w:rFonts w:ascii="Calibri" w:hAnsi="Calibri" w:cs="Calibri"/>
                <w:bCs/>
                <w:color w:val="000000"/>
                <w:sz w:val="18"/>
                <w:szCs w:val="18"/>
              </w:rPr>
              <w:br/>
              <w:t xml:space="preserve">przeprowadzono warsztaty z samorządami i wspólnie z Gdańskiem opracowano i wydano podręcznik dobrych praktyk dla samorządów i wszystkich zainteresowanych instytucji; zorganizowano 2 </w:t>
            </w:r>
            <w:proofErr w:type="spellStart"/>
            <w:r>
              <w:rPr>
                <w:rFonts w:ascii="Calibri" w:hAnsi="Calibri" w:cs="Calibri"/>
                <w:bCs/>
                <w:color w:val="000000"/>
                <w:sz w:val="18"/>
                <w:szCs w:val="18"/>
              </w:rPr>
              <w:t>hackathony</w:t>
            </w:r>
            <w:proofErr w:type="spellEnd"/>
            <w:r>
              <w:rPr>
                <w:rFonts w:ascii="Calibri" w:hAnsi="Calibri" w:cs="Calibri"/>
                <w:bCs/>
                <w:color w:val="000000"/>
                <w:sz w:val="18"/>
                <w:szCs w:val="18"/>
              </w:rPr>
              <w:t xml:space="preserve"> danych publicznych.</w:t>
            </w:r>
          </w:p>
          <w:p w14:paraId="0572C825" w14:textId="77777777" w:rsidR="00363EA9" w:rsidRDefault="00363EA9" w:rsidP="00363EA9">
            <w:pPr>
              <w:jc w:val="both"/>
              <w:rPr>
                <w:rFonts w:ascii="Calibri" w:hAnsi="Calibri" w:cs="Calibri"/>
                <w:bCs/>
                <w:color w:val="000000"/>
                <w:sz w:val="18"/>
                <w:szCs w:val="18"/>
              </w:rPr>
            </w:pPr>
            <w:r>
              <w:rPr>
                <w:rFonts w:ascii="Calibri" w:hAnsi="Calibri" w:cs="Calibri"/>
                <w:bCs/>
                <w:color w:val="000000"/>
                <w:sz w:val="18"/>
                <w:szCs w:val="18"/>
              </w:rPr>
              <w:t xml:space="preserve">Z uwagi na konieczność unieważnienia postępowania na przygotowanie i przeprowadzenie kampanii w </w:t>
            </w:r>
            <w:proofErr w:type="spellStart"/>
            <w:r>
              <w:rPr>
                <w:rFonts w:ascii="Calibri" w:hAnsi="Calibri" w:cs="Calibri"/>
                <w:bCs/>
                <w:color w:val="000000"/>
                <w:sz w:val="18"/>
                <w:szCs w:val="18"/>
              </w:rPr>
              <w:t>internecie</w:t>
            </w:r>
            <w:proofErr w:type="spellEnd"/>
            <w:r>
              <w:rPr>
                <w:rFonts w:ascii="Calibri" w:hAnsi="Calibri" w:cs="Calibri"/>
                <w:bCs/>
                <w:color w:val="000000"/>
                <w:sz w:val="18"/>
                <w:szCs w:val="18"/>
              </w:rPr>
              <w:t xml:space="preserve"> (wpłynęły oferty przekraczające budżet zadania, a tym samym wysokość limitu środków na promocję) podjęto decyzję o realizacji przez zespół projektowy kampanii w mediach społecznościowych, wspartej publikacjami 2 artykułów na portalach </w:t>
            </w:r>
            <w:proofErr w:type="spellStart"/>
            <w:r>
              <w:rPr>
                <w:rFonts w:ascii="Calibri" w:hAnsi="Calibri" w:cs="Calibri"/>
                <w:bCs/>
                <w:color w:val="000000"/>
                <w:sz w:val="18"/>
                <w:szCs w:val="18"/>
              </w:rPr>
              <w:t>horyzontalanych</w:t>
            </w:r>
            <w:proofErr w:type="spellEnd"/>
            <w:r>
              <w:rPr>
                <w:rFonts w:ascii="Calibri" w:hAnsi="Calibri" w:cs="Calibri"/>
                <w:bCs/>
                <w:color w:val="000000"/>
                <w:sz w:val="18"/>
                <w:szCs w:val="18"/>
              </w:rPr>
              <w:t xml:space="preserve">.  </w:t>
            </w:r>
          </w:p>
          <w:p w14:paraId="503A4C6B" w14:textId="77777777" w:rsidR="00C04485" w:rsidRDefault="00C04485" w:rsidP="00C04485">
            <w:pPr>
              <w:spacing w:before="120"/>
              <w:jc w:val="both"/>
              <w:rPr>
                <w:rFonts w:cstheme="minorHAnsi"/>
                <w:b/>
                <w:sz w:val="16"/>
                <w:szCs w:val="16"/>
              </w:rPr>
            </w:pPr>
            <w:r w:rsidRPr="00E04628">
              <w:rPr>
                <w:rFonts w:cstheme="minorHAnsi"/>
                <w:b/>
                <w:sz w:val="16"/>
                <w:szCs w:val="16"/>
              </w:rPr>
              <w:t xml:space="preserve">Nazwa Kamienia </w:t>
            </w:r>
            <w:r>
              <w:rPr>
                <w:rFonts w:cstheme="minorHAnsi"/>
                <w:b/>
                <w:sz w:val="16"/>
                <w:szCs w:val="16"/>
              </w:rPr>
              <w:t xml:space="preserve">milowego     </w:t>
            </w:r>
            <w:r w:rsidRPr="00E04628">
              <w:rPr>
                <w:rFonts w:cstheme="minorHAnsi"/>
                <w:b/>
                <w:sz w:val="16"/>
                <w:szCs w:val="16"/>
              </w:rPr>
              <w:t>Planowany</w:t>
            </w:r>
            <w:r>
              <w:rPr>
                <w:rFonts w:cstheme="minorHAnsi"/>
                <w:b/>
                <w:sz w:val="16"/>
                <w:szCs w:val="16"/>
              </w:rPr>
              <w:t xml:space="preserve">     </w:t>
            </w:r>
            <w:r w:rsidRPr="00E04628">
              <w:rPr>
                <w:rFonts w:cstheme="minorHAnsi"/>
                <w:b/>
                <w:sz w:val="16"/>
                <w:szCs w:val="16"/>
              </w:rPr>
              <w:t>Rzeczywisty</w:t>
            </w:r>
            <w:r>
              <w:rPr>
                <w:rFonts w:cstheme="minorHAnsi"/>
                <w:b/>
                <w:sz w:val="16"/>
                <w:szCs w:val="16"/>
              </w:rPr>
              <w:t xml:space="preserve">   </w:t>
            </w:r>
            <w:r w:rsidRPr="00E04628">
              <w:rPr>
                <w:rFonts w:cstheme="minorHAnsi"/>
                <w:b/>
                <w:sz w:val="16"/>
                <w:szCs w:val="16"/>
              </w:rPr>
              <w:t>Status realizacji</w:t>
            </w:r>
            <w:r>
              <w:rPr>
                <w:rFonts w:cstheme="minorHAnsi"/>
                <w:b/>
                <w:sz w:val="16"/>
                <w:szCs w:val="16"/>
              </w:rPr>
              <w:t xml:space="preserve"> </w:t>
            </w:r>
            <w:r w:rsidRPr="00E04628">
              <w:rPr>
                <w:rFonts w:cstheme="minorHAnsi"/>
                <w:b/>
                <w:sz w:val="16"/>
                <w:szCs w:val="16"/>
              </w:rPr>
              <w:t>kamienia</w:t>
            </w:r>
            <w:r>
              <w:rPr>
                <w:rFonts w:cstheme="minorHAnsi"/>
                <w:b/>
                <w:sz w:val="16"/>
                <w:szCs w:val="16"/>
              </w:rPr>
              <w:t xml:space="preserve"> milowego </w:t>
            </w:r>
          </w:p>
          <w:p w14:paraId="6792854D" w14:textId="77777777" w:rsidR="00C04485" w:rsidRPr="000F1D4B" w:rsidRDefault="00C04485" w:rsidP="00C04485">
            <w:pPr>
              <w:jc w:val="both"/>
              <w:rPr>
                <w:rFonts w:cstheme="minorHAnsi"/>
                <w:b/>
                <w:color w:val="000000" w:themeColor="text1"/>
                <w:sz w:val="16"/>
                <w:szCs w:val="16"/>
              </w:rPr>
            </w:pPr>
            <w:r>
              <w:rPr>
                <w:rFonts w:cstheme="minorHAnsi"/>
                <w:color w:val="000000" w:themeColor="text1"/>
                <w:sz w:val="16"/>
                <w:szCs w:val="16"/>
              </w:rPr>
              <w:t xml:space="preserve">                                                     </w:t>
            </w:r>
            <w:r w:rsidRPr="000F1D4B">
              <w:rPr>
                <w:rFonts w:cstheme="minorHAnsi"/>
                <w:b/>
                <w:color w:val="000000" w:themeColor="text1"/>
                <w:sz w:val="16"/>
                <w:szCs w:val="16"/>
              </w:rPr>
              <w:t xml:space="preserve">termin            </w:t>
            </w:r>
            <w:proofErr w:type="spellStart"/>
            <w:r w:rsidRPr="000F1D4B">
              <w:rPr>
                <w:rFonts w:cstheme="minorHAnsi"/>
                <w:b/>
                <w:color w:val="000000" w:themeColor="text1"/>
                <w:sz w:val="16"/>
                <w:szCs w:val="16"/>
              </w:rPr>
              <w:t>termin</w:t>
            </w:r>
            <w:proofErr w:type="spellEnd"/>
          </w:p>
          <w:p w14:paraId="7B10D268" w14:textId="77777777" w:rsidR="00C04485" w:rsidRPr="000F1D4B" w:rsidRDefault="00C04485" w:rsidP="00C04485">
            <w:pPr>
              <w:jc w:val="both"/>
              <w:rPr>
                <w:rFonts w:cstheme="minorHAnsi"/>
                <w:b/>
                <w:color w:val="000000" w:themeColor="text1"/>
                <w:sz w:val="16"/>
                <w:szCs w:val="16"/>
              </w:rPr>
            </w:pPr>
            <w:r w:rsidRPr="000F1D4B">
              <w:rPr>
                <w:rFonts w:cstheme="minorHAnsi"/>
                <w:b/>
                <w:color w:val="000000" w:themeColor="text1"/>
                <w:sz w:val="16"/>
                <w:szCs w:val="16"/>
              </w:rPr>
              <w:t xml:space="preserve">                                                     osiągnięcia    </w:t>
            </w:r>
            <w:proofErr w:type="spellStart"/>
            <w:r w:rsidRPr="000F1D4B">
              <w:rPr>
                <w:rFonts w:cstheme="minorHAnsi"/>
                <w:b/>
                <w:color w:val="000000" w:themeColor="text1"/>
                <w:sz w:val="16"/>
                <w:szCs w:val="16"/>
              </w:rPr>
              <w:t>osiągnięcia</w:t>
            </w:r>
            <w:proofErr w:type="spellEnd"/>
            <w:r w:rsidRPr="000F1D4B">
              <w:rPr>
                <w:rFonts w:cstheme="minorHAnsi"/>
                <w:b/>
                <w:color w:val="000000" w:themeColor="text1"/>
                <w:sz w:val="16"/>
                <w:szCs w:val="16"/>
              </w:rPr>
              <w:t xml:space="preserve">    </w:t>
            </w:r>
          </w:p>
          <w:p w14:paraId="567F0D02" w14:textId="77777777" w:rsidR="00C04485" w:rsidRDefault="00C04485" w:rsidP="00F05E0A">
            <w:pPr>
              <w:jc w:val="both"/>
              <w:rPr>
                <w:rFonts w:ascii="Calibri" w:hAnsi="Calibri" w:cs="Calibri"/>
                <w:bCs/>
                <w:color w:val="000000"/>
                <w:sz w:val="18"/>
                <w:szCs w:val="18"/>
              </w:rPr>
            </w:pPr>
          </w:p>
          <w:p w14:paraId="3553B208" w14:textId="7E7764E4" w:rsidR="00C04485" w:rsidRDefault="00C04485" w:rsidP="00C04485">
            <w:pPr>
              <w:ind w:left="3294" w:hanging="3294"/>
              <w:rPr>
                <w:rFonts w:cstheme="minorHAnsi"/>
                <w:color w:val="000000" w:themeColor="text1"/>
                <w:sz w:val="16"/>
                <w:szCs w:val="16"/>
              </w:rPr>
            </w:pPr>
            <w:r w:rsidRPr="00E04628">
              <w:rPr>
                <w:rFonts w:cstheme="minorHAnsi"/>
                <w:color w:val="000000" w:themeColor="text1"/>
                <w:sz w:val="16"/>
                <w:szCs w:val="16"/>
              </w:rPr>
              <w:t xml:space="preserve">Zakończenie działań </w:t>
            </w:r>
            <w:r>
              <w:rPr>
                <w:rFonts w:cstheme="minorHAnsi"/>
                <w:color w:val="000000" w:themeColor="text1"/>
                <w:sz w:val="16"/>
                <w:szCs w:val="16"/>
              </w:rPr>
              <w:t xml:space="preserve">          </w:t>
            </w:r>
            <w:r w:rsidR="001F542B">
              <w:rPr>
                <w:rFonts w:cstheme="minorHAnsi"/>
                <w:color w:val="000000" w:themeColor="text1"/>
                <w:sz w:val="16"/>
                <w:szCs w:val="16"/>
              </w:rPr>
              <w:t xml:space="preserve">    </w:t>
            </w:r>
            <w:r>
              <w:rPr>
                <w:rFonts w:cstheme="minorHAnsi"/>
                <w:color w:val="000000" w:themeColor="text1"/>
                <w:sz w:val="16"/>
                <w:szCs w:val="16"/>
              </w:rPr>
              <w:t xml:space="preserve">  02.2020     </w:t>
            </w:r>
            <w:r w:rsidR="001F542B">
              <w:rPr>
                <w:rFonts w:cstheme="minorHAnsi"/>
                <w:color w:val="000000" w:themeColor="text1"/>
                <w:sz w:val="16"/>
                <w:szCs w:val="16"/>
              </w:rPr>
              <w:t xml:space="preserve">    </w:t>
            </w:r>
            <w:r>
              <w:rPr>
                <w:rFonts w:cstheme="minorHAnsi"/>
                <w:color w:val="000000" w:themeColor="text1"/>
                <w:sz w:val="16"/>
                <w:szCs w:val="16"/>
              </w:rPr>
              <w:t xml:space="preserve"> 04.2020      </w:t>
            </w:r>
          </w:p>
          <w:p w14:paraId="319B7E94" w14:textId="37934470" w:rsidR="00C04485" w:rsidRPr="003470D0" w:rsidRDefault="00C04485" w:rsidP="003470D0">
            <w:pPr>
              <w:ind w:left="3720" w:hanging="3720"/>
              <w:rPr>
                <w:rFonts w:cstheme="minorHAnsi"/>
                <w:color w:val="000000" w:themeColor="text1"/>
                <w:sz w:val="16"/>
                <w:szCs w:val="16"/>
              </w:rPr>
            </w:pPr>
            <w:r>
              <w:rPr>
                <w:rFonts w:cstheme="minorHAnsi"/>
                <w:color w:val="000000" w:themeColor="text1"/>
                <w:sz w:val="16"/>
                <w:szCs w:val="16"/>
              </w:rPr>
              <w:t xml:space="preserve">promocyjnych                                                               </w:t>
            </w:r>
            <w:r w:rsidR="001F542B">
              <w:rPr>
                <w:rFonts w:cstheme="minorHAnsi"/>
                <w:color w:val="000000" w:themeColor="text1"/>
                <w:sz w:val="16"/>
                <w:szCs w:val="16"/>
              </w:rPr>
              <w:t xml:space="preserve">           </w:t>
            </w:r>
            <w:r>
              <w:rPr>
                <w:rFonts w:cstheme="minorHAnsi"/>
                <w:color w:val="000000" w:themeColor="text1"/>
                <w:sz w:val="16"/>
                <w:szCs w:val="16"/>
              </w:rPr>
              <w:t xml:space="preserve"> </w:t>
            </w:r>
            <w:r w:rsidR="001F542B">
              <w:rPr>
                <w:rFonts w:cstheme="minorHAnsi"/>
                <w:color w:val="000000" w:themeColor="text1"/>
                <w:sz w:val="16"/>
                <w:szCs w:val="16"/>
              </w:rPr>
              <w:t xml:space="preserve"> </w:t>
            </w:r>
            <w:r>
              <w:rPr>
                <w:rFonts w:cstheme="minorHAnsi"/>
                <w:color w:val="000000" w:themeColor="text1"/>
                <w:sz w:val="16"/>
                <w:szCs w:val="16"/>
              </w:rPr>
              <w:t xml:space="preserve"> </w:t>
            </w:r>
            <w:r w:rsidRPr="00E04628">
              <w:rPr>
                <w:rFonts w:cstheme="minorHAnsi"/>
                <w:sz w:val="16"/>
                <w:szCs w:val="16"/>
              </w:rPr>
              <w:t xml:space="preserve">Osiągnięty. </w:t>
            </w:r>
            <w:r w:rsidRPr="00E04628">
              <w:rPr>
                <w:rFonts w:cstheme="minorHAnsi"/>
                <w:color w:val="000000" w:themeColor="text1"/>
                <w:sz w:val="16"/>
                <w:szCs w:val="16"/>
              </w:rPr>
              <w:t>Nie został przekroczony termin krytyczny realizacji kami</w:t>
            </w:r>
            <w:r w:rsidR="00E53B1F">
              <w:rPr>
                <w:rFonts w:cstheme="minorHAnsi"/>
                <w:color w:val="000000" w:themeColor="text1"/>
                <w:sz w:val="16"/>
                <w:szCs w:val="16"/>
              </w:rPr>
              <w:t xml:space="preserve">enia milowego określony w </w:t>
            </w:r>
            <w:proofErr w:type="spellStart"/>
            <w:r w:rsidR="00E53B1F">
              <w:rPr>
                <w:rFonts w:cstheme="minorHAnsi"/>
                <w:color w:val="000000" w:themeColor="text1"/>
                <w:sz w:val="16"/>
                <w:szCs w:val="16"/>
              </w:rPr>
              <w:t>WoD</w:t>
            </w:r>
            <w:proofErr w:type="spellEnd"/>
            <w:r w:rsidR="00E53B1F">
              <w:rPr>
                <w:rFonts w:cstheme="minorHAnsi"/>
                <w:color w:val="000000" w:themeColor="text1"/>
                <w:sz w:val="16"/>
                <w:szCs w:val="16"/>
              </w:rPr>
              <w:t xml:space="preserve">. </w:t>
            </w:r>
            <w:r w:rsidRPr="00E04628">
              <w:rPr>
                <w:rFonts w:cstheme="minorHAnsi"/>
                <w:color w:val="000000" w:themeColor="text1"/>
                <w:sz w:val="16"/>
                <w:szCs w:val="16"/>
              </w:rPr>
              <w:t xml:space="preserve">Opóźnienie spowodowane unieważnieniem postępowania na realizację kampanii w Internecie oraz koniecznością przeprowadzenia jej przez zespół projektowy. </w:t>
            </w:r>
          </w:p>
          <w:p w14:paraId="53D4D1F8" w14:textId="77777777" w:rsidR="00F05E0A" w:rsidRPr="003470D0" w:rsidRDefault="00F05E0A" w:rsidP="00F05E0A">
            <w:pPr>
              <w:jc w:val="both"/>
              <w:rPr>
                <w:rFonts w:ascii="Calibri" w:hAnsi="Calibri" w:cs="Calibri"/>
                <w:bCs/>
                <w:color w:val="000000"/>
                <w:sz w:val="18"/>
                <w:szCs w:val="18"/>
              </w:rPr>
            </w:pPr>
          </w:p>
          <w:p w14:paraId="46570728" w14:textId="55AEC7D6" w:rsidR="00C775DA" w:rsidRPr="003470D0" w:rsidRDefault="00F05E0A" w:rsidP="003470D0">
            <w:pPr>
              <w:rPr>
                <w:rFonts w:cstheme="minorHAnsi"/>
                <w:color w:val="000000" w:themeColor="text1"/>
                <w:sz w:val="16"/>
                <w:szCs w:val="16"/>
              </w:rPr>
            </w:pPr>
            <w:r w:rsidRPr="003470D0">
              <w:rPr>
                <w:rFonts w:ascii="Calibri" w:hAnsi="Calibri" w:cs="Calibri"/>
                <w:bCs/>
                <w:color w:val="000000"/>
                <w:sz w:val="18"/>
                <w:szCs w:val="18"/>
                <w:u w:val="single"/>
              </w:rPr>
              <w:t>Zadanie 7 - Zarządzanie projektem, wsparcie i obsługa projektu,</w:t>
            </w:r>
            <w:r w:rsidRPr="003470D0">
              <w:rPr>
                <w:rFonts w:ascii="Calibri" w:hAnsi="Calibri" w:cs="Calibri"/>
                <w:bCs/>
                <w:color w:val="000000"/>
                <w:sz w:val="18"/>
                <w:szCs w:val="18"/>
              </w:rPr>
              <w:t xml:space="preserve"> data rozpoczęcia - 01.06.2017, planowan</w:t>
            </w:r>
            <w:r w:rsidR="000B6CE0">
              <w:rPr>
                <w:rFonts w:ascii="Calibri" w:hAnsi="Calibri" w:cs="Calibri"/>
                <w:bCs/>
                <w:color w:val="000000"/>
                <w:sz w:val="18"/>
                <w:szCs w:val="18"/>
              </w:rPr>
              <w:t xml:space="preserve">a data zakończenia - 30.06.2020. Projekt w trakcie </w:t>
            </w:r>
            <w:r w:rsidR="001F0F03">
              <w:rPr>
                <w:rFonts w:ascii="Calibri" w:hAnsi="Calibri" w:cs="Calibri"/>
                <w:bCs/>
                <w:color w:val="000000"/>
                <w:sz w:val="18"/>
                <w:szCs w:val="18"/>
              </w:rPr>
              <w:t>rozlicza</w:t>
            </w:r>
            <w:r w:rsidR="000B6CE0">
              <w:rPr>
                <w:rFonts w:ascii="Calibri" w:hAnsi="Calibri" w:cs="Calibri"/>
                <w:bCs/>
                <w:color w:val="000000"/>
                <w:sz w:val="18"/>
                <w:szCs w:val="18"/>
              </w:rPr>
              <w:t xml:space="preserve">nia przez Centrum Projektów Polska Cyfrowa, prawdopodobna data zatwierdzenia wniosku o płatność końcową 12.2020. </w:t>
            </w:r>
          </w:p>
        </w:tc>
      </w:tr>
      <w:tr w:rsidR="004D135D" w:rsidRPr="002450C4" w14:paraId="51509642" w14:textId="77777777" w:rsidTr="00920CE8">
        <w:tc>
          <w:tcPr>
            <w:tcW w:w="480" w:type="dxa"/>
          </w:tcPr>
          <w:p w14:paraId="7080254F" w14:textId="6A47DF4E" w:rsidR="004D135D" w:rsidRPr="002450C4" w:rsidRDefault="004D135D" w:rsidP="007A0A3D">
            <w:pPr>
              <w:pStyle w:val="Akapitzlist"/>
              <w:numPr>
                <w:ilvl w:val="0"/>
                <w:numId w:val="1"/>
              </w:numPr>
              <w:rPr>
                <w:sz w:val="18"/>
                <w:szCs w:val="20"/>
              </w:rPr>
            </w:pPr>
          </w:p>
        </w:tc>
        <w:tc>
          <w:tcPr>
            <w:tcW w:w="2350" w:type="dxa"/>
          </w:tcPr>
          <w:p w14:paraId="7F244B92" w14:textId="77777777" w:rsidR="004D135D" w:rsidRDefault="004D135D">
            <w:pPr>
              <w:rPr>
                <w:sz w:val="18"/>
                <w:szCs w:val="20"/>
              </w:rPr>
            </w:pPr>
            <w:r>
              <w:rPr>
                <w:sz w:val="18"/>
                <w:szCs w:val="20"/>
              </w:rPr>
              <w:t>E-usługi dla obywateli i przedsiębiorców</w:t>
            </w:r>
          </w:p>
        </w:tc>
        <w:tc>
          <w:tcPr>
            <w:tcW w:w="6232" w:type="dxa"/>
          </w:tcPr>
          <w:p w14:paraId="631254EB" w14:textId="152B5BF1" w:rsidR="000E2B10" w:rsidRPr="000E2B10" w:rsidRDefault="00F77547" w:rsidP="00640540">
            <w:pPr>
              <w:spacing w:before="120"/>
              <w:rPr>
                <w:bCs/>
                <w:i/>
                <w:sz w:val="18"/>
                <w:szCs w:val="18"/>
              </w:rPr>
            </w:pPr>
            <w:r>
              <w:rPr>
                <w:sz w:val="18"/>
                <w:szCs w:val="18"/>
              </w:rPr>
              <w:t>W ramach p</w:t>
            </w:r>
            <w:r w:rsidR="002722BE">
              <w:rPr>
                <w:sz w:val="18"/>
                <w:szCs w:val="18"/>
              </w:rPr>
              <w:t>rojektu nie powstały e-usł</w:t>
            </w:r>
            <w:r w:rsidR="00BB7875">
              <w:rPr>
                <w:sz w:val="18"/>
                <w:szCs w:val="18"/>
              </w:rPr>
              <w:t>ugi</w:t>
            </w:r>
            <w:r w:rsidR="00F57C29">
              <w:rPr>
                <w:sz w:val="18"/>
                <w:szCs w:val="18"/>
              </w:rPr>
              <w:t>.</w:t>
            </w:r>
          </w:p>
        </w:tc>
      </w:tr>
      <w:tr w:rsidR="00920CE8" w:rsidRPr="002450C4" w14:paraId="5E1DFCAE" w14:textId="77777777" w:rsidTr="00920CE8">
        <w:tc>
          <w:tcPr>
            <w:tcW w:w="480" w:type="dxa"/>
          </w:tcPr>
          <w:p w14:paraId="1BA1487B" w14:textId="77777777" w:rsidR="00920CE8" w:rsidRPr="002450C4" w:rsidRDefault="00920CE8" w:rsidP="007A0A3D">
            <w:pPr>
              <w:pStyle w:val="Akapitzlist"/>
              <w:numPr>
                <w:ilvl w:val="0"/>
                <w:numId w:val="1"/>
              </w:numPr>
              <w:rPr>
                <w:sz w:val="18"/>
                <w:szCs w:val="20"/>
              </w:rPr>
            </w:pPr>
          </w:p>
        </w:tc>
        <w:tc>
          <w:tcPr>
            <w:tcW w:w="2350" w:type="dxa"/>
          </w:tcPr>
          <w:p w14:paraId="15665CBF" w14:textId="77777777" w:rsidR="00920CE8" w:rsidRPr="002450C4" w:rsidRDefault="00920CE8" w:rsidP="0092099A">
            <w:pPr>
              <w:rPr>
                <w:sz w:val="18"/>
                <w:szCs w:val="20"/>
              </w:rPr>
            </w:pPr>
            <w:r>
              <w:rPr>
                <w:sz w:val="18"/>
                <w:szCs w:val="20"/>
              </w:rPr>
              <w:t>Postęp w realizacji strategicznych celów Państwa</w:t>
            </w:r>
          </w:p>
        </w:tc>
        <w:tc>
          <w:tcPr>
            <w:tcW w:w="6232" w:type="dxa"/>
          </w:tcPr>
          <w:p w14:paraId="22210E1D" w14:textId="78B2A9A4" w:rsidR="00941951" w:rsidRDefault="009E1864" w:rsidP="005A4344">
            <w:pPr>
              <w:jc w:val="both"/>
              <w:rPr>
                <w:sz w:val="18"/>
                <w:szCs w:val="20"/>
              </w:rPr>
            </w:pPr>
            <w:r>
              <w:rPr>
                <w:sz w:val="18"/>
                <w:szCs w:val="20"/>
              </w:rPr>
              <w:t xml:space="preserve">Docelowa wartość wskaźników </w:t>
            </w:r>
            <w:r w:rsidR="00B2049A">
              <w:rPr>
                <w:sz w:val="18"/>
                <w:szCs w:val="20"/>
              </w:rPr>
              <w:t>oraz stopień ich realizacji</w:t>
            </w:r>
            <w:r w:rsidR="00941951">
              <w:rPr>
                <w:sz w:val="18"/>
                <w:szCs w:val="20"/>
              </w:rPr>
              <w:t>:</w:t>
            </w:r>
            <w:r w:rsidR="00781B5D">
              <w:rPr>
                <w:sz w:val="18"/>
                <w:szCs w:val="20"/>
              </w:rPr>
              <w:t xml:space="preserve"> </w:t>
            </w:r>
          </w:p>
          <w:p w14:paraId="32B855EC" w14:textId="4444A2DB" w:rsidR="00B2049A" w:rsidRPr="00835B71" w:rsidRDefault="00B2049A" w:rsidP="00835B71">
            <w:pPr>
              <w:pStyle w:val="Akapitzlist"/>
              <w:numPr>
                <w:ilvl w:val="0"/>
                <w:numId w:val="11"/>
              </w:numPr>
              <w:jc w:val="both"/>
              <w:rPr>
                <w:sz w:val="18"/>
                <w:szCs w:val="20"/>
              </w:rPr>
            </w:pPr>
            <w:r w:rsidRPr="00835B71">
              <w:rPr>
                <w:sz w:val="18"/>
                <w:szCs w:val="20"/>
              </w:rPr>
              <w:t>Liczba podmiotów, które udostępniły on-line in</w:t>
            </w:r>
            <w:r w:rsidR="00E22F4A" w:rsidRPr="00835B71">
              <w:rPr>
                <w:sz w:val="18"/>
                <w:szCs w:val="20"/>
              </w:rPr>
              <w:t xml:space="preserve">formacje sektora publicznego </w:t>
            </w:r>
            <w:r w:rsidR="002B1115" w:rsidRPr="00835B71">
              <w:rPr>
                <w:sz w:val="18"/>
                <w:szCs w:val="20"/>
              </w:rPr>
              <w:t>–</w:t>
            </w:r>
            <w:r w:rsidR="00E22F4A" w:rsidRPr="00835B71">
              <w:rPr>
                <w:sz w:val="18"/>
                <w:szCs w:val="20"/>
              </w:rPr>
              <w:t xml:space="preserve"> </w:t>
            </w:r>
            <w:r w:rsidR="005A287F" w:rsidRPr="00835B71">
              <w:rPr>
                <w:sz w:val="18"/>
                <w:szCs w:val="20"/>
              </w:rPr>
              <w:t xml:space="preserve">4 </w:t>
            </w:r>
            <w:r w:rsidR="002B1115" w:rsidRPr="00835B71">
              <w:rPr>
                <w:sz w:val="18"/>
                <w:szCs w:val="20"/>
              </w:rPr>
              <w:t>, stopień realizacji: 100%</w:t>
            </w:r>
          </w:p>
          <w:p w14:paraId="669DD676" w14:textId="195BFC48" w:rsidR="00941951" w:rsidRPr="00835B71" w:rsidRDefault="00B2049A" w:rsidP="00835B71">
            <w:pPr>
              <w:pStyle w:val="Akapitzlist"/>
              <w:numPr>
                <w:ilvl w:val="0"/>
                <w:numId w:val="11"/>
              </w:numPr>
              <w:jc w:val="both"/>
              <w:rPr>
                <w:sz w:val="18"/>
                <w:szCs w:val="20"/>
              </w:rPr>
            </w:pPr>
            <w:r w:rsidRPr="00835B71">
              <w:rPr>
                <w:sz w:val="18"/>
                <w:szCs w:val="20"/>
              </w:rPr>
              <w:t xml:space="preserve">Liczba udostępnionych on-line dokumentów zawierających informacje sektora publicznego </w:t>
            </w:r>
            <w:r w:rsidR="00E22F4A" w:rsidRPr="00835B71">
              <w:rPr>
                <w:sz w:val="18"/>
                <w:szCs w:val="20"/>
              </w:rPr>
              <w:t>–</w:t>
            </w:r>
            <w:r w:rsidRPr="00835B71">
              <w:rPr>
                <w:sz w:val="18"/>
                <w:szCs w:val="20"/>
              </w:rPr>
              <w:t xml:space="preserve"> </w:t>
            </w:r>
            <w:r w:rsidR="002866BC">
              <w:rPr>
                <w:sz w:val="18"/>
                <w:szCs w:val="20"/>
              </w:rPr>
              <w:t>459</w:t>
            </w:r>
            <w:r w:rsidR="00605C7F" w:rsidRPr="00835B71">
              <w:rPr>
                <w:sz w:val="18"/>
                <w:szCs w:val="20"/>
              </w:rPr>
              <w:t>,00</w:t>
            </w:r>
            <w:r w:rsidR="002B1115" w:rsidRPr="00835B71">
              <w:rPr>
                <w:sz w:val="18"/>
                <w:szCs w:val="20"/>
              </w:rPr>
              <w:t xml:space="preserve">, stopień realizacji: </w:t>
            </w:r>
            <w:r w:rsidR="009B2FC6" w:rsidRPr="009B2FC6">
              <w:rPr>
                <w:sz w:val="18"/>
                <w:szCs w:val="20"/>
              </w:rPr>
              <w:t>1477,3 %</w:t>
            </w:r>
          </w:p>
          <w:p w14:paraId="6B1AEDB4" w14:textId="78EA0A14" w:rsidR="00941951" w:rsidRPr="00835B71" w:rsidRDefault="00B2049A" w:rsidP="00835B71">
            <w:pPr>
              <w:pStyle w:val="Akapitzlist"/>
              <w:numPr>
                <w:ilvl w:val="0"/>
                <w:numId w:val="11"/>
              </w:numPr>
              <w:jc w:val="both"/>
              <w:rPr>
                <w:sz w:val="18"/>
                <w:szCs w:val="20"/>
              </w:rPr>
            </w:pPr>
            <w:r w:rsidRPr="00A3336B">
              <w:rPr>
                <w:sz w:val="18"/>
                <w:szCs w:val="20"/>
              </w:rPr>
              <w:t xml:space="preserve">Liczba utworzonych API </w:t>
            </w:r>
            <w:r w:rsidR="002C03A1" w:rsidRPr="00A3336B">
              <w:rPr>
                <w:sz w:val="18"/>
                <w:szCs w:val="20"/>
              </w:rPr>
              <w:t>–</w:t>
            </w:r>
            <w:r w:rsidRPr="00A3336B">
              <w:rPr>
                <w:sz w:val="18"/>
                <w:szCs w:val="20"/>
              </w:rPr>
              <w:t xml:space="preserve"> </w:t>
            </w:r>
            <w:r w:rsidR="00941951" w:rsidRPr="00A3336B">
              <w:rPr>
                <w:sz w:val="18"/>
                <w:szCs w:val="20"/>
              </w:rPr>
              <w:t>10</w:t>
            </w:r>
            <w:r w:rsidR="002C03A1" w:rsidRPr="00A3336B">
              <w:rPr>
                <w:sz w:val="18"/>
                <w:szCs w:val="20"/>
              </w:rPr>
              <w:t>, stopień realizacji: 100%</w:t>
            </w:r>
          </w:p>
          <w:p w14:paraId="2D8382E3" w14:textId="45919CBF" w:rsidR="00941951" w:rsidRPr="00835B71" w:rsidRDefault="00B2049A" w:rsidP="00835B71">
            <w:pPr>
              <w:pStyle w:val="Akapitzlist"/>
              <w:numPr>
                <w:ilvl w:val="0"/>
                <w:numId w:val="11"/>
              </w:numPr>
              <w:jc w:val="both"/>
              <w:rPr>
                <w:sz w:val="18"/>
                <w:szCs w:val="20"/>
              </w:rPr>
            </w:pPr>
            <w:r w:rsidRPr="00A3336B">
              <w:rPr>
                <w:sz w:val="18"/>
                <w:szCs w:val="20"/>
              </w:rPr>
              <w:t xml:space="preserve">Liczba baz danych udostępnionych on-line poprzez API </w:t>
            </w:r>
            <w:r w:rsidR="002B1115" w:rsidRPr="00A3336B">
              <w:rPr>
                <w:sz w:val="18"/>
                <w:szCs w:val="20"/>
              </w:rPr>
              <w:t>–</w:t>
            </w:r>
            <w:r w:rsidRPr="00A3336B">
              <w:rPr>
                <w:sz w:val="18"/>
                <w:szCs w:val="20"/>
              </w:rPr>
              <w:t xml:space="preserve"> </w:t>
            </w:r>
            <w:r w:rsidR="00941951" w:rsidRPr="00A3336B">
              <w:rPr>
                <w:sz w:val="18"/>
                <w:szCs w:val="20"/>
              </w:rPr>
              <w:t>7</w:t>
            </w:r>
            <w:r w:rsidR="002B1115" w:rsidRPr="00A3336B">
              <w:rPr>
                <w:sz w:val="18"/>
                <w:szCs w:val="20"/>
              </w:rPr>
              <w:t>, stopień realizacji: 100%</w:t>
            </w:r>
          </w:p>
          <w:p w14:paraId="69EAA057" w14:textId="7E373269" w:rsidR="00941951" w:rsidRPr="00835B71" w:rsidRDefault="00B2049A" w:rsidP="00835B71">
            <w:pPr>
              <w:pStyle w:val="Akapitzlist"/>
              <w:numPr>
                <w:ilvl w:val="0"/>
                <w:numId w:val="11"/>
              </w:numPr>
              <w:jc w:val="both"/>
              <w:rPr>
                <w:sz w:val="18"/>
                <w:szCs w:val="20"/>
              </w:rPr>
            </w:pPr>
            <w:r w:rsidRPr="00835B71">
              <w:rPr>
                <w:sz w:val="18"/>
                <w:szCs w:val="20"/>
              </w:rPr>
              <w:t>Liczba pobrań/</w:t>
            </w:r>
            <w:proofErr w:type="spellStart"/>
            <w:r w:rsidRPr="00835B71">
              <w:rPr>
                <w:sz w:val="18"/>
                <w:szCs w:val="20"/>
              </w:rPr>
              <w:t>odtworzeń</w:t>
            </w:r>
            <w:proofErr w:type="spellEnd"/>
            <w:r w:rsidRPr="00835B71">
              <w:rPr>
                <w:sz w:val="18"/>
                <w:szCs w:val="20"/>
              </w:rPr>
              <w:t xml:space="preserve"> dokumentów zawierających informacje sektora publicznego </w:t>
            </w:r>
            <w:r w:rsidR="00366DF6" w:rsidRPr="00835B71">
              <w:rPr>
                <w:sz w:val="18"/>
                <w:szCs w:val="20"/>
              </w:rPr>
              <w:t>–</w:t>
            </w:r>
            <w:r w:rsidRPr="00835B71">
              <w:rPr>
                <w:sz w:val="18"/>
                <w:szCs w:val="20"/>
              </w:rPr>
              <w:t xml:space="preserve"> </w:t>
            </w:r>
            <w:r w:rsidR="002866BC">
              <w:rPr>
                <w:rFonts w:ascii="inherit" w:hAnsi="inherit"/>
                <w:color w:val="000000"/>
                <w:sz w:val="19"/>
                <w:szCs w:val="19"/>
              </w:rPr>
              <w:t>130 879 000,00</w:t>
            </w:r>
            <w:r w:rsidR="00366DF6" w:rsidRPr="00835B71">
              <w:rPr>
                <w:sz w:val="18"/>
                <w:szCs w:val="20"/>
              </w:rPr>
              <w:t xml:space="preserve">, stopień realizacji: </w:t>
            </w:r>
            <w:r w:rsidR="00571079" w:rsidRPr="00571079">
              <w:rPr>
                <w:sz w:val="18"/>
                <w:szCs w:val="20"/>
              </w:rPr>
              <w:t>141  %</w:t>
            </w:r>
            <w:r w:rsidR="00653996" w:rsidRPr="00A3336B">
              <w:rPr>
                <w:sz w:val="18"/>
                <w:szCs w:val="20"/>
              </w:rPr>
              <w:t xml:space="preserve">- </w:t>
            </w:r>
            <w:r w:rsidR="00A3336B">
              <w:rPr>
                <w:sz w:val="18"/>
                <w:szCs w:val="20"/>
              </w:rPr>
              <w:t xml:space="preserve">nieznacznie </w:t>
            </w:r>
            <w:r w:rsidR="00A3336B" w:rsidRPr="00A3336B">
              <w:rPr>
                <w:sz w:val="18"/>
                <w:szCs w:val="20"/>
              </w:rPr>
              <w:t xml:space="preserve">przekroczenie wskaźnika może się wiązać z </w:t>
            </w:r>
            <w:r w:rsidR="00A3336B">
              <w:rPr>
                <w:sz w:val="18"/>
                <w:szCs w:val="20"/>
              </w:rPr>
              <w:t>promowaniem udostępnionej na dane.gov.pl ankiety dot. korzystania z portalu</w:t>
            </w:r>
            <w:r w:rsidR="00A3336B" w:rsidRPr="00A3336B">
              <w:rPr>
                <w:sz w:val="18"/>
                <w:szCs w:val="20"/>
              </w:rPr>
              <w:t>.</w:t>
            </w:r>
          </w:p>
          <w:p w14:paraId="2695DCFC" w14:textId="753B2B9C" w:rsidR="009B2FC6" w:rsidRDefault="00B2049A" w:rsidP="009B2FC6">
            <w:pPr>
              <w:pStyle w:val="Akapitzlist"/>
              <w:numPr>
                <w:ilvl w:val="0"/>
                <w:numId w:val="11"/>
              </w:numPr>
              <w:jc w:val="both"/>
              <w:rPr>
                <w:sz w:val="18"/>
                <w:szCs w:val="20"/>
              </w:rPr>
            </w:pPr>
            <w:r w:rsidRPr="00DA673D">
              <w:rPr>
                <w:sz w:val="18"/>
                <w:szCs w:val="20"/>
              </w:rPr>
              <w:t>Rozmiar udostępnionych</w:t>
            </w:r>
            <w:r w:rsidRPr="00835B71">
              <w:rPr>
                <w:sz w:val="18"/>
                <w:szCs w:val="20"/>
              </w:rPr>
              <w:t xml:space="preserve"> on-line informacji sektora publicznego (TB) – </w:t>
            </w:r>
            <w:r w:rsidR="00DA673D" w:rsidRPr="00DA673D">
              <w:rPr>
                <w:sz w:val="18"/>
                <w:szCs w:val="20"/>
              </w:rPr>
              <w:t>0,</w:t>
            </w:r>
            <w:r w:rsidR="009B2FC6">
              <w:rPr>
                <w:sz w:val="18"/>
                <w:szCs w:val="20"/>
              </w:rPr>
              <w:t>12</w:t>
            </w:r>
            <w:r w:rsidR="00DA673D" w:rsidRPr="00DA673D">
              <w:rPr>
                <w:sz w:val="18"/>
                <w:szCs w:val="20"/>
              </w:rPr>
              <w:t xml:space="preserve"> TB</w:t>
            </w:r>
            <w:r w:rsidR="002B1115" w:rsidRPr="00835B71">
              <w:rPr>
                <w:sz w:val="18"/>
                <w:szCs w:val="20"/>
              </w:rPr>
              <w:t>, stopień realizacji</w:t>
            </w:r>
            <w:r w:rsidR="002B1115" w:rsidRPr="00571079">
              <w:rPr>
                <w:sz w:val="18"/>
                <w:szCs w:val="20"/>
              </w:rPr>
              <w:t xml:space="preserve">: </w:t>
            </w:r>
            <w:r w:rsidR="00571079" w:rsidRPr="00571079">
              <w:rPr>
                <w:sz w:val="18"/>
                <w:szCs w:val="20"/>
              </w:rPr>
              <w:t>750</w:t>
            </w:r>
            <w:r w:rsidR="00571079">
              <w:rPr>
                <w:sz w:val="18"/>
                <w:szCs w:val="20"/>
              </w:rPr>
              <w:t>%</w:t>
            </w:r>
            <w:r w:rsidR="00A3336B">
              <w:rPr>
                <w:sz w:val="18"/>
                <w:szCs w:val="20"/>
              </w:rPr>
              <w:t xml:space="preserve"> </w:t>
            </w:r>
          </w:p>
          <w:p w14:paraId="7A04F7A1" w14:textId="77777777" w:rsidR="009B2FC6" w:rsidRPr="004B45D1" w:rsidRDefault="009B2FC6" w:rsidP="009B2FC6">
            <w:pPr>
              <w:pStyle w:val="Akapitzlist"/>
              <w:jc w:val="both"/>
              <w:rPr>
                <w:sz w:val="18"/>
                <w:szCs w:val="20"/>
              </w:rPr>
            </w:pPr>
          </w:p>
          <w:p w14:paraId="5FAD6ACB" w14:textId="4D77BE49" w:rsidR="00AD10EF" w:rsidRPr="0075134D" w:rsidRDefault="0075134D" w:rsidP="005A4344">
            <w:pPr>
              <w:jc w:val="both"/>
              <w:rPr>
                <w:sz w:val="18"/>
                <w:szCs w:val="20"/>
              </w:rPr>
            </w:pPr>
            <w:r w:rsidRPr="0075134D">
              <w:rPr>
                <w:sz w:val="18"/>
                <w:szCs w:val="20"/>
              </w:rPr>
              <w:t>Aktualny stan wskaźników projektowych:</w:t>
            </w:r>
          </w:p>
          <w:p w14:paraId="7A689BF1" w14:textId="7EDF9FA5" w:rsidR="000E2B10" w:rsidRPr="00AD10EF" w:rsidRDefault="000E2B10" w:rsidP="004B45D1">
            <w:pPr>
              <w:pStyle w:val="Akapitzlist"/>
              <w:numPr>
                <w:ilvl w:val="0"/>
                <w:numId w:val="17"/>
              </w:numPr>
              <w:jc w:val="both"/>
              <w:rPr>
                <w:sz w:val="18"/>
                <w:szCs w:val="20"/>
              </w:rPr>
            </w:pPr>
            <w:r w:rsidRPr="00AD10EF">
              <w:rPr>
                <w:sz w:val="18"/>
                <w:szCs w:val="20"/>
              </w:rPr>
              <w:t>Liczba podmiotów, które udostępniły on-line informacje sektora publicznego - 4</w:t>
            </w:r>
          </w:p>
          <w:p w14:paraId="29BD2E8B" w14:textId="5B33B3D0" w:rsidR="000E2B10" w:rsidRPr="000E2B10" w:rsidRDefault="000E2B10" w:rsidP="004B45D1">
            <w:pPr>
              <w:pStyle w:val="Akapitzlist"/>
              <w:numPr>
                <w:ilvl w:val="0"/>
                <w:numId w:val="17"/>
              </w:numPr>
              <w:spacing w:before="120"/>
              <w:jc w:val="both"/>
              <w:rPr>
                <w:sz w:val="18"/>
                <w:szCs w:val="18"/>
              </w:rPr>
            </w:pPr>
            <w:r w:rsidRPr="000E2B10">
              <w:rPr>
                <w:sz w:val="18"/>
                <w:szCs w:val="20"/>
              </w:rPr>
              <w:t xml:space="preserve">Liczba udostępnionych on-line dokumentów zawierających informacje sektora </w:t>
            </w:r>
            <w:r w:rsidRPr="000E2B10">
              <w:rPr>
                <w:sz w:val="18"/>
                <w:szCs w:val="18"/>
              </w:rPr>
              <w:t>publicznego - 6 7</w:t>
            </w:r>
            <w:r w:rsidR="00F57C29">
              <w:rPr>
                <w:sz w:val="18"/>
                <w:szCs w:val="18"/>
              </w:rPr>
              <w:t>81</w:t>
            </w:r>
            <w:r w:rsidRPr="000E2B10">
              <w:rPr>
                <w:sz w:val="18"/>
                <w:szCs w:val="18"/>
              </w:rPr>
              <w:t xml:space="preserve">,00    </w:t>
            </w:r>
          </w:p>
          <w:p w14:paraId="1769F87B" w14:textId="56F1C0FB" w:rsidR="000E2B10" w:rsidRPr="000E2B10" w:rsidRDefault="000E2B10" w:rsidP="004B45D1">
            <w:pPr>
              <w:pStyle w:val="Akapitzlist"/>
              <w:numPr>
                <w:ilvl w:val="0"/>
                <w:numId w:val="17"/>
              </w:numPr>
              <w:spacing w:before="120"/>
              <w:jc w:val="both"/>
              <w:rPr>
                <w:sz w:val="18"/>
                <w:szCs w:val="18"/>
              </w:rPr>
            </w:pPr>
            <w:r w:rsidRPr="000E2B10">
              <w:rPr>
                <w:sz w:val="18"/>
                <w:szCs w:val="18"/>
              </w:rPr>
              <w:t>Liczba utworzonych API - 10</w:t>
            </w:r>
          </w:p>
          <w:p w14:paraId="06ADEB7A" w14:textId="13854FE7" w:rsidR="000E2B10" w:rsidRPr="000E2B10" w:rsidRDefault="000E2B10" w:rsidP="004B45D1">
            <w:pPr>
              <w:pStyle w:val="Akapitzlist"/>
              <w:numPr>
                <w:ilvl w:val="0"/>
                <w:numId w:val="17"/>
              </w:numPr>
              <w:spacing w:before="120"/>
              <w:jc w:val="both"/>
              <w:rPr>
                <w:sz w:val="18"/>
                <w:szCs w:val="18"/>
              </w:rPr>
            </w:pPr>
            <w:r w:rsidRPr="000E2B10">
              <w:rPr>
                <w:sz w:val="18"/>
                <w:szCs w:val="18"/>
              </w:rPr>
              <w:t>Liczba baz danych udostępnionych on-line poprzez API - 7</w:t>
            </w:r>
          </w:p>
          <w:p w14:paraId="2B6B39A1" w14:textId="4516EF87" w:rsidR="000E2B10" w:rsidRPr="000E2B10" w:rsidRDefault="000E2B10" w:rsidP="004B45D1">
            <w:pPr>
              <w:pStyle w:val="Akapitzlist"/>
              <w:numPr>
                <w:ilvl w:val="0"/>
                <w:numId w:val="17"/>
              </w:numPr>
              <w:spacing w:before="120"/>
              <w:jc w:val="both"/>
              <w:rPr>
                <w:sz w:val="18"/>
                <w:szCs w:val="18"/>
              </w:rPr>
            </w:pPr>
            <w:r w:rsidRPr="000E2B10">
              <w:rPr>
                <w:sz w:val="18"/>
                <w:szCs w:val="18"/>
              </w:rPr>
              <w:t>Liczba pobrań/</w:t>
            </w:r>
            <w:proofErr w:type="spellStart"/>
            <w:r w:rsidRPr="000E2B10">
              <w:rPr>
                <w:sz w:val="18"/>
                <w:szCs w:val="18"/>
              </w:rPr>
              <w:t>odtworzeń</w:t>
            </w:r>
            <w:proofErr w:type="spellEnd"/>
            <w:r w:rsidRPr="000E2B10">
              <w:rPr>
                <w:sz w:val="18"/>
                <w:szCs w:val="18"/>
              </w:rPr>
              <w:t xml:space="preserve"> dokumentów zawierających informacje sektora publicznego - </w:t>
            </w:r>
            <w:r w:rsidR="00F57C29" w:rsidRPr="003470D0">
              <w:rPr>
                <w:sz w:val="18"/>
                <w:szCs w:val="18"/>
              </w:rPr>
              <w:t xml:space="preserve">184 552 898  </w:t>
            </w:r>
          </w:p>
          <w:p w14:paraId="2E6D1B7E" w14:textId="68F22956" w:rsidR="00D6293A" w:rsidRDefault="000E2B10" w:rsidP="004B45D1">
            <w:pPr>
              <w:pStyle w:val="Akapitzlist"/>
              <w:numPr>
                <w:ilvl w:val="0"/>
                <w:numId w:val="17"/>
              </w:numPr>
              <w:spacing w:before="120"/>
              <w:jc w:val="both"/>
              <w:rPr>
                <w:sz w:val="18"/>
                <w:szCs w:val="20"/>
              </w:rPr>
            </w:pPr>
            <w:r w:rsidRPr="000E2B10">
              <w:rPr>
                <w:sz w:val="18"/>
                <w:szCs w:val="20"/>
              </w:rPr>
              <w:lastRenderedPageBreak/>
              <w:t>Rozmiar udostępnionych on-line informacji sektora publicznego (TB) – 0,</w:t>
            </w:r>
            <w:r w:rsidR="00C60594">
              <w:rPr>
                <w:sz w:val="18"/>
                <w:szCs w:val="20"/>
              </w:rPr>
              <w:t>90</w:t>
            </w:r>
          </w:p>
          <w:p w14:paraId="096C0934" w14:textId="77777777" w:rsidR="00D6293A" w:rsidRDefault="00D6293A" w:rsidP="00D6293A">
            <w:pPr>
              <w:pStyle w:val="Akapitzlist"/>
              <w:spacing w:before="120"/>
              <w:jc w:val="both"/>
              <w:rPr>
                <w:sz w:val="18"/>
                <w:szCs w:val="20"/>
              </w:rPr>
            </w:pPr>
          </w:p>
          <w:p w14:paraId="57EB6105" w14:textId="438F5A83" w:rsidR="00D6293A" w:rsidRDefault="00D6293A" w:rsidP="00D6293A">
            <w:pPr>
              <w:jc w:val="both"/>
              <w:rPr>
                <w:sz w:val="18"/>
                <w:szCs w:val="20"/>
              </w:rPr>
            </w:pPr>
            <w:r>
              <w:rPr>
                <w:sz w:val="18"/>
                <w:szCs w:val="20"/>
              </w:rPr>
              <w:t xml:space="preserve">Uzasadnienie przekroczenia wartości docelowych wskaźników: </w:t>
            </w:r>
          </w:p>
          <w:p w14:paraId="7BF5D06F" w14:textId="77777777" w:rsidR="00D6293A" w:rsidRDefault="00D6293A" w:rsidP="00D6293A">
            <w:pPr>
              <w:jc w:val="both"/>
              <w:rPr>
                <w:sz w:val="18"/>
                <w:szCs w:val="20"/>
              </w:rPr>
            </w:pPr>
          </w:p>
          <w:p w14:paraId="204A2770" w14:textId="2E069DDC" w:rsidR="00D6293A" w:rsidRPr="000D462D" w:rsidRDefault="00D6293A" w:rsidP="000D462D">
            <w:pPr>
              <w:spacing w:before="120"/>
              <w:jc w:val="both"/>
              <w:rPr>
                <w:sz w:val="18"/>
                <w:szCs w:val="18"/>
              </w:rPr>
            </w:pPr>
            <w:r w:rsidRPr="000D462D">
              <w:rPr>
                <w:sz w:val="18"/>
                <w:szCs w:val="20"/>
              </w:rPr>
              <w:t xml:space="preserve">Liczba udostępnionych on-line dokumentów zawierających informacje sektora </w:t>
            </w:r>
            <w:r w:rsidRPr="000D462D">
              <w:rPr>
                <w:sz w:val="18"/>
                <w:szCs w:val="18"/>
              </w:rPr>
              <w:t xml:space="preserve">publicznego – </w:t>
            </w:r>
            <w:r w:rsidR="00BF4BC9" w:rsidRPr="000D462D">
              <w:rPr>
                <w:sz w:val="18"/>
                <w:szCs w:val="18"/>
              </w:rPr>
              <w:t xml:space="preserve">wskaźnik został przekroczony w wyniku działań przeprowadzonych w projekcie obejmujących zmiany i usprawnienia, które zostały wprowadzone na portalu dane.gov.pl, jak również dzięki opracowanym standardom otwartości danych, publikacji w portalu instrukcji i materiałów edukacyjnych, ułatwiających dysponentom danych korzystanie z portalu oraz działaniom edukacyjnym i promującym otwartość danych (szkolenia dla pełnomocników otwartości danych i edytorów na portalu, </w:t>
            </w:r>
            <w:proofErr w:type="spellStart"/>
            <w:r w:rsidR="00BF4BC9" w:rsidRPr="000D462D">
              <w:rPr>
                <w:sz w:val="18"/>
                <w:szCs w:val="18"/>
              </w:rPr>
              <w:t>hackathony</w:t>
            </w:r>
            <w:proofErr w:type="spellEnd"/>
            <w:r w:rsidR="00BF4BC9" w:rsidRPr="000D462D">
              <w:rPr>
                <w:sz w:val="18"/>
                <w:szCs w:val="18"/>
              </w:rPr>
              <w:t xml:space="preserve"> otwartych danych), dotychczasowe tempo udostępniania przez dysponentów zasobów danych na portalu znacząco rosło. Dzięki realizacji projektu roczny wzrost liczby udostępnionych on-line dokumentów zawierających informacje sektora publicznego wynosi ok. 2,2 </w:t>
            </w:r>
            <w:proofErr w:type="spellStart"/>
            <w:r w:rsidR="00BF4BC9" w:rsidRPr="000D462D">
              <w:rPr>
                <w:sz w:val="18"/>
                <w:szCs w:val="18"/>
              </w:rPr>
              <w:t>tys</w:t>
            </w:r>
            <w:proofErr w:type="spellEnd"/>
          </w:p>
          <w:p w14:paraId="6E86BC1E" w14:textId="32BA9305" w:rsidR="00D6293A" w:rsidRPr="000D462D" w:rsidRDefault="00D6293A" w:rsidP="00A3336B">
            <w:pPr>
              <w:spacing w:before="120"/>
              <w:jc w:val="both"/>
              <w:rPr>
                <w:sz w:val="18"/>
                <w:szCs w:val="20"/>
              </w:rPr>
            </w:pPr>
            <w:r w:rsidRPr="000D462D">
              <w:rPr>
                <w:sz w:val="18"/>
                <w:szCs w:val="18"/>
              </w:rPr>
              <w:t>Liczba pobrań/</w:t>
            </w:r>
            <w:proofErr w:type="spellStart"/>
            <w:r w:rsidRPr="000D462D">
              <w:rPr>
                <w:sz w:val="18"/>
                <w:szCs w:val="18"/>
              </w:rPr>
              <w:t>odtworzeń</w:t>
            </w:r>
            <w:proofErr w:type="spellEnd"/>
            <w:r w:rsidRPr="000D462D">
              <w:rPr>
                <w:sz w:val="18"/>
                <w:szCs w:val="18"/>
              </w:rPr>
              <w:t xml:space="preserve"> dokumentów zawierających informacje sektora publicznego - </w:t>
            </w:r>
            <w:r w:rsidRPr="000D462D">
              <w:rPr>
                <w:sz w:val="18"/>
                <w:szCs w:val="20"/>
              </w:rPr>
              <w:t>Wskaźnik został znacząco przekroczony gdyż prognozując zainteresowanie wykorzystaniem baz danych nie założono tak dużego zainteresowania użytkowników. Tym bardziej, że dostęp do danych przez API  jest przeznaczony przede wszystkim dla użytkowników zaawansowanych z rynku IT.</w:t>
            </w:r>
            <w:r w:rsidR="00BF4BC9" w:rsidRPr="000D462D">
              <w:rPr>
                <w:sz w:val="18"/>
                <w:szCs w:val="20"/>
              </w:rPr>
              <w:t xml:space="preserve"> </w:t>
            </w:r>
          </w:p>
          <w:p w14:paraId="19B67883" w14:textId="09016DB8" w:rsidR="00BF4BC9" w:rsidRPr="000D462D" w:rsidRDefault="00BF4BC9" w:rsidP="000D462D">
            <w:pPr>
              <w:jc w:val="both"/>
              <w:rPr>
                <w:sz w:val="18"/>
                <w:szCs w:val="18"/>
              </w:rPr>
            </w:pPr>
            <w:r w:rsidRPr="000D462D">
              <w:rPr>
                <w:sz w:val="18"/>
                <w:szCs w:val="18"/>
              </w:rPr>
              <w:t>W ramach projektu udostępnione zostały dane o dużym potencjale ponownego wykorzystywania i wysokiej jakości. Pomimo określonych kompetencji do korzystania z danych przez interfejs programowania API, dane cieszyły się bardzo dużym zainteresowaniem. Tym samym liczba pobrań/</w:t>
            </w:r>
            <w:proofErr w:type="spellStart"/>
            <w:r w:rsidRPr="000D462D">
              <w:rPr>
                <w:sz w:val="18"/>
                <w:szCs w:val="18"/>
              </w:rPr>
              <w:t>odtworzeń</w:t>
            </w:r>
            <w:proofErr w:type="spellEnd"/>
            <w:r w:rsidRPr="000D462D">
              <w:rPr>
                <w:sz w:val="18"/>
                <w:szCs w:val="18"/>
              </w:rPr>
              <w:t xml:space="preserve"> wzrosła o ok. 38% w stosunku do  przyjętych szacunków (zgodnie z Aneksem nr 5). W tym należy uwzględnić udostępnione nowe zasoby danych i kolejne dane z NFZ, których miesięczna popularność osiąga ok. 5,5 mln odtworze</w:t>
            </w:r>
            <w:r w:rsidR="009E1864">
              <w:rPr>
                <w:sz w:val="18"/>
                <w:szCs w:val="18"/>
              </w:rPr>
              <w:t>ń</w:t>
            </w:r>
            <w:bookmarkStart w:id="0" w:name="_GoBack"/>
            <w:bookmarkEnd w:id="0"/>
            <w:r w:rsidRPr="000D462D">
              <w:rPr>
                <w:sz w:val="18"/>
                <w:szCs w:val="18"/>
              </w:rPr>
              <w:t xml:space="preserve">. </w:t>
            </w:r>
          </w:p>
          <w:p w14:paraId="7AF9CBBC" w14:textId="0A5D76E7" w:rsidR="008D5916" w:rsidRDefault="00D6293A" w:rsidP="00D6293A">
            <w:pPr>
              <w:spacing w:before="120"/>
              <w:jc w:val="both"/>
              <w:rPr>
                <w:sz w:val="18"/>
                <w:szCs w:val="20"/>
              </w:rPr>
            </w:pPr>
            <w:r w:rsidRPr="000D462D">
              <w:rPr>
                <w:sz w:val="18"/>
                <w:szCs w:val="20"/>
              </w:rPr>
              <w:t xml:space="preserve">Rozmiar udostępnionych on-line informacji sektora publicznego (TB) – </w:t>
            </w:r>
            <w:r w:rsidR="000A6419" w:rsidRPr="000A6419">
              <w:rPr>
                <w:sz w:val="18"/>
                <w:szCs w:val="20"/>
              </w:rPr>
              <w:t>przekroczenie ze względu na większą ni</w:t>
            </w:r>
            <w:r w:rsidR="009E1864">
              <w:rPr>
                <w:sz w:val="18"/>
                <w:szCs w:val="20"/>
              </w:rPr>
              <w:t>ż</w:t>
            </w:r>
            <w:r w:rsidR="000A6419" w:rsidRPr="000A6419">
              <w:rPr>
                <w:sz w:val="18"/>
                <w:szCs w:val="20"/>
              </w:rPr>
              <w:t xml:space="preserve"> zakładano liczbę udostępnionych zasobów informacji sektora publicznego</w:t>
            </w:r>
            <w:r w:rsidR="009E1864">
              <w:rPr>
                <w:sz w:val="18"/>
                <w:szCs w:val="20"/>
              </w:rPr>
              <w:t>.</w:t>
            </w:r>
          </w:p>
          <w:p w14:paraId="5C09F46A" w14:textId="7C97BDBD" w:rsidR="008D5916" w:rsidRPr="00CA5016" w:rsidRDefault="008D5916" w:rsidP="00D6293A">
            <w:pPr>
              <w:spacing w:before="120"/>
              <w:jc w:val="both"/>
              <w:rPr>
                <w:sz w:val="18"/>
                <w:szCs w:val="20"/>
              </w:rPr>
            </w:pPr>
            <w:r>
              <w:rPr>
                <w:sz w:val="18"/>
                <w:szCs w:val="20"/>
              </w:rPr>
              <w:t>W zakresie przekroczenia wskaźników informowano</w:t>
            </w:r>
            <w:r w:rsidR="001463D1">
              <w:rPr>
                <w:sz w:val="18"/>
                <w:szCs w:val="20"/>
              </w:rPr>
              <w:t xml:space="preserve"> Instytucje Pośredniczącą</w:t>
            </w:r>
            <w:r>
              <w:rPr>
                <w:sz w:val="18"/>
                <w:szCs w:val="20"/>
              </w:rPr>
              <w:t>, składano</w:t>
            </w:r>
            <w:r w:rsidR="001463D1">
              <w:rPr>
                <w:sz w:val="18"/>
                <w:szCs w:val="20"/>
              </w:rPr>
              <w:t xml:space="preserve"> stosowne</w:t>
            </w:r>
            <w:r>
              <w:rPr>
                <w:sz w:val="18"/>
                <w:szCs w:val="20"/>
              </w:rPr>
              <w:t xml:space="preserve"> wyjaśnienia oraz podpisywano Aneksy do Porozumienia o dofinansowanie.</w:t>
            </w:r>
          </w:p>
          <w:p w14:paraId="2D28BD48" w14:textId="78CC963C" w:rsidR="00D6293A" w:rsidRPr="00D6293A" w:rsidRDefault="003C0A36" w:rsidP="00D6293A">
            <w:pPr>
              <w:spacing w:before="120"/>
              <w:jc w:val="both"/>
              <w:rPr>
                <w:sz w:val="18"/>
                <w:szCs w:val="20"/>
              </w:rPr>
            </w:pPr>
            <w:r>
              <w:rPr>
                <w:sz w:val="18"/>
                <w:szCs w:val="20"/>
              </w:rPr>
              <w:t xml:space="preserve">  </w:t>
            </w:r>
          </w:p>
          <w:p w14:paraId="21B40B50" w14:textId="035B22DE" w:rsidR="00267E37" w:rsidRPr="00267E37" w:rsidRDefault="00267E37" w:rsidP="00267E37">
            <w:pPr>
              <w:spacing w:before="120"/>
              <w:jc w:val="both"/>
              <w:rPr>
                <w:sz w:val="18"/>
                <w:szCs w:val="20"/>
              </w:rPr>
            </w:pPr>
            <w:r>
              <w:rPr>
                <w:sz w:val="18"/>
                <w:szCs w:val="20"/>
              </w:rPr>
              <w:t xml:space="preserve">Zrealizowane zadania </w:t>
            </w:r>
            <w:r w:rsidRPr="00267E37">
              <w:rPr>
                <w:sz w:val="18"/>
                <w:szCs w:val="20"/>
              </w:rPr>
              <w:t xml:space="preserve">są spójne z szeregiem dokumentów strategicznych, w których podkreśla się rolę otwartych danych. Należą do nich w szczególności:                                                                                                                                                                                                                                                                                                                                                                        </w:t>
            </w:r>
          </w:p>
          <w:p w14:paraId="1322B862" w14:textId="77777777" w:rsidR="00267E37" w:rsidRPr="00267E37" w:rsidRDefault="00267E37" w:rsidP="00267E37">
            <w:pPr>
              <w:spacing w:before="120"/>
              <w:jc w:val="both"/>
              <w:rPr>
                <w:sz w:val="18"/>
                <w:szCs w:val="20"/>
              </w:rPr>
            </w:pPr>
            <w:r w:rsidRPr="00267E37">
              <w:rPr>
                <w:sz w:val="18"/>
                <w:szCs w:val="20"/>
              </w:rPr>
              <w:t>1)</w:t>
            </w:r>
            <w:r w:rsidRPr="00267E37">
              <w:rPr>
                <w:sz w:val="18"/>
                <w:szCs w:val="20"/>
              </w:rPr>
              <w:tab/>
              <w:t>Strategia Sprawne Państwo 2020 - cel 1 - Otwarty Rząd, działanie 1.1. Otwarcie zasobów sektora publicznego,</w:t>
            </w:r>
          </w:p>
          <w:p w14:paraId="3608438C" w14:textId="77777777" w:rsidR="00267E37" w:rsidRPr="00267E37" w:rsidRDefault="00267E37" w:rsidP="00267E37">
            <w:pPr>
              <w:spacing w:before="120"/>
              <w:jc w:val="both"/>
              <w:rPr>
                <w:sz w:val="18"/>
                <w:szCs w:val="20"/>
              </w:rPr>
            </w:pPr>
            <w:r w:rsidRPr="00267E37">
              <w:rPr>
                <w:sz w:val="18"/>
                <w:szCs w:val="20"/>
              </w:rPr>
              <w:t>2)</w:t>
            </w:r>
            <w:r w:rsidRPr="00267E37">
              <w:rPr>
                <w:sz w:val="18"/>
                <w:szCs w:val="20"/>
              </w:rPr>
              <w:tab/>
              <w:t>Strategia Innowacyjności i Efektywności Gospodarki „Dynamiczna Polska 2020” – cel 2 - Stymulowanie innowacyjności poprzez wzrost efektywności wiedzy i pracy, działanie 2.6.4. Otwarcie dostępu do informacji publicznej dla przedsiębiorstw i obywateli,</w:t>
            </w:r>
          </w:p>
          <w:p w14:paraId="76141152" w14:textId="32638DD0" w:rsidR="00267E37" w:rsidRPr="00267E37" w:rsidRDefault="00267E37" w:rsidP="00267E37">
            <w:pPr>
              <w:spacing w:before="120"/>
              <w:jc w:val="both"/>
              <w:rPr>
                <w:sz w:val="18"/>
                <w:szCs w:val="20"/>
              </w:rPr>
            </w:pPr>
            <w:r w:rsidRPr="00267E37">
              <w:rPr>
                <w:sz w:val="18"/>
                <w:szCs w:val="20"/>
              </w:rPr>
              <w:t>3)</w:t>
            </w:r>
            <w:r w:rsidRPr="00267E37">
              <w:rPr>
                <w:sz w:val="18"/>
                <w:szCs w:val="20"/>
              </w:rPr>
              <w:tab/>
              <w:t xml:space="preserve">Program Zintegrowanej Informatyzacji Państwa – </w:t>
            </w:r>
            <w:r w:rsidR="00235287">
              <w:rPr>
                <w:sz w:val="18"/>
                <w:szCs w:val="20"/>
              </w:rPr>
              <w:t xml:space="preserve">Cel główny - </w:t>
            </w:r>
            <w:r w:rsidR="00235287" w:rsidRPr="00235287">
              <w:rPr>
                <w:sz w:val="18"/>
                <w:szCs w:val="20"/>
              </w:rPr>
              <w:t>Modernizacja administracji publicznej z wykorzystaniem technologii cyfrowych nakierowana na potrzebę podniesienia sprawności państwa i poprawienie jakości relacji administracji z obywatelami i innymi interesariuszami.</w:t>
            </w:r>
            <w:r w:rsidR="00FB59B2">
              <w:rPr>
                <w:sz w:val="18"/>
                <w:szCs w:val="20"/>
              </w:rPr>
              <w:t xml:space="preserve"> Cel szczegółowy - </w:t>
            </w:r>
            <w:r w:rsidR="00FB59B2" w:rsidRPr="00FB59B2">
              <w:rPr>
                <w:sz w:val="18"/>
                <w:szCs w:val="20"/>
              </w:rPr>
              <w:t>4.2.2. Wzmocnienie dojrzałości organizacyjnej jednostek administracji publicznej oraz usprawnienie zaplecza elektronicznej administracji (</w:t>
            </w:r>
            <w:proofErr w:type="spellStart"/>
            <w:r w:rsidR="00FB59B2" w:rsidRPr="00FB59B2">
              <w:rPr>
                <w:sz w:val="18"/>
                <w:szCs w:val="20"/>
              </w:rPr>
              <w:t>back</w:t>
            </w:r>
            <w:proofErr w:type="spellEnd"/>
            <w:r w:rsidR="00FB59B2" w:rsidRPr="00FB59B2">
              <w:rPr>
                <w:sz w:val="18"/>
                <w:szCs w:val="20"/>
              </w:rPr>
              <w:t xml:space="preserve"> </w:t>
            </w:r>
            <w:proofErr w:type="spellStart"/>
            <w:r w:rsidR="00FB59B2" w:rsidRPr="00FB59B2">
              <w:rPr>
                <w:sz w:val="18"/>
                <w:szCs w:val="20"/>
              </w:rPr>
              <w:t>office</w:t>
            </w:r>
            <w:proofErr w:type="spellEnd"/>
            <w:r w:rsidR="00FB59B2" w:rsidRPr="00FB59B2">
              <w:rPr>
                <w:sz w:val="18"/>
                <w:szCs w:val="20"/>
              </w:rPr>
              <w:t>)</w:t>
            </w:r>
            <w:r w:rsidR="00FB59B2">
              <w:rPr>
                <w:sz w:val="18"/>
                <w:szCs w:val="20"/>
              </w:rPr>
              <w:t>.</w:t>
            </w:r>
          </w:p>
          <w:p w14:paraId="7AE97138" w14:textId="77777777" w:rsidR="00267E37" w:rsidRPr="00267E37" w:rsidRDefault="00267E37" w:rsidP="00267E37">
            <w:pPr>
              <w:spacing w:before="120"/>
              <w:jc w:val="both"/>
              <w:rPr>
                <w:sz w:val="18"/>
                <w:szCs w:val="20"/>
              </w:rPr>
            </w:pPr>
            <w:r w:rsidRPr="00267E37">
              <w:rPr>
                <w:sz w:val="18"/>
                <w:szCs w:val="20"/>
              </w:rPr>
              <w:t>4)</w:t>
            </w:r>
            <w:r w:rsidRPr="00267E37">
              <w:rPr>
                <w:sz w:val="18"/>
                <w:szCs w:val="20"/>
              </w:rPr>
              <w:tab/>
              <w:t>Strategia na rzecz Odpowiedzialnego Rozwoju – obszar E-państwo, kierunki interwencji: Budowa i rozwój e-administracji - orientacja administracji państwa na usługi cyfrowe oraz Budowa społeczeństwa informacyjnego.</w:t>
            </w:r>
          </w:p>
          <w:p w14:paraId="68D568AF" w14:textId="2A346273" w:rsidR="00267E37" w:rsidRPr="00267E37" w:rsidRDefault="00267E37" w:rsidP="001D5100">
            <w:pPr>
              <w:spacing w:before="120"/>
              <w:jc w:val="both"/>
              <w:rPr>
                <w:sz w:val="18"/>
                <w:szCs w:val="20"/>
              </w:rPr>
            </w:pPr>
            <w:r w:rsidRPr="00267E37">
              <w:rPr>
                <w:sz w:val="18"/>
                <w:szCs w:val="20"/>
              </w:rPr>
              <w:t xml:space="preserve">Cele przyjęte w opisanych dokumentach sprowadzają się do podejmowania działań w obszarze społeczeństwa informacyjnego ukierunkowanego na dostęp, wykorzystywanie i udostępnianie informacji i wiedzy, w tym otwieranie dostępu do danych publicznych, czyli m.in.: otwarcia zasobów sektora publicznego, zapewnienia właściwych gwarancji prawnych dla udostępniających i </w:t>
            </w:r>
            <w:r w:rsidRPr="00267E37">
              <w:rPr>
                <w:sz w:val="18"/>
                <w:szCs w:val="20"/>
              </w:rPr>
              <w:lastRenderedPageBreak/>
              <w:t xml:space="preserve">wykorzystujących zasoby publiczne, usprawnień technicznych i edukacji w tym obszarze. </w:t>
            </w:r>
          </w:p>
        </w:tc>
      </w:tr>
      <w:tr w:rsidR="007A0A3D" w:rsidRPr="002450C4" w14:paraId="0B319E13" w14:textId="77777777" w:rsidTr="00920CE8">
        <w:tc>
          <w:tcPr>
            <w:tcW w:w="480" w:type="dxa"/>
          </w:tcPr>
          <w:p w14:paraId="3F7389C2" w14:textId="257C0681" w:rsidR="007A0A3D" w:rsidRPr="002450C4" w:rsidRDefault="007A0A3D" w:rsidP="007A0A3D">
            <w:pPr>
              <w:pStyle w:val="Akapitzlist"/>
              <w:numPr>
                <w:ilvl w:val="0"/>
                <w:numId w:val="1"/>
              </w:numPr>
              <w:rPr>
                <w:sz w:val="18"/>
                <w:szCs w:val="20"/>
              </w:rPr>
            </w:pPr>
          </w:p>
        </w:tc>
        <w:tc>
          <w:tcPr>
            <w:tcW w:w="2350" w:type="dxa"/>
          </w:tcPr>
          <w:p w14:paraId="4E78BC8E" w14:textId="77777777" w:rsidR="007A0A3D" w:rsidRPr="002450C4" w:rsidRDefault="005D4188" w:rsidP="00A6601B">
            <w:pPr>
              <w:rPr>
                <w:sz w:val="18"/>
                <w:szCs w:val="20"/>
              </w:rPr>
            </w:pPr>
            <w:r>
              <w:rPr>
                <w:sz w:val="18"/>
                <w:szCs w:val="20"/>
              </w:rPr>
              <w:t>Ryzyka i problemy</w:t>
            </w:r>
          </w:p>
        </w:tc>
        <w:tc>
          <w:tcPr>
            <w:tcW w:w="6232" w:type="dxa"/>
          </w:tcPr>
          <w:p w14:paraId="74965A0B" w14:textId="77777777" w:rsidR="00034C8F" w:rsidRPr="003436E4" w:rsidRDefault="00034C8F" w:rsidP="00034C8F">
            <w:pPr>
              <w:spacing w:before="120"/>
              <w:jc w:val="both"/>
              <w:rPr>
                <w:sz w:val="18"/>
                <w:szCs w:val="20"/>
              </w:rPr>
            </w:pPr>
            <w:r w:rsidRPr="003436E4">
              <w:rPr>
                <w:sz w:val="18"/>
                <w:szCs w:val="20"/>
              </w:rPr>
              <w:t>Podczas realizacji projektu wystąpiły poniższe ryzyka:</w:t>
            </w:r>
          </w:p>
          <w:p w14:paraId="0C27EC48" w14:textId="22784AD4" w:rsidR="00115323" w:rsidRPr="00115323" w:rsidRDefault="00D3762C" w:rsidP="00115323">
            <w:pPr>
              <w:pStyle w:val="Akapitzlist"/>
              <w:numPr>
                <w:ilvl w:val="0"/>
                <w:numId w:val="10"/>
              </w:numPr>
              <w:spacing w:before="120"/>
              <w:ind w:left="1077" w:hanging="357"/>
              <w:contextualSpacing w:val="0"/>
              <w:rPr>
                <w:rFonts w:cstheme="minorHAnsi"/>
                <w:sz w:val="18"/>
                <w:szCs w:val="18"/>
              </w:rPr>
            </w:pPr>
            <w:r w:rsidRPr="003436E4">
              <w:rPr>
                <w:sz w:val="18"/>
                <w:szCs w:val="20"/>
              </w:rPr>
              <w:t>Opóźnienia w realizacji zadań zw. z brakiem zainteresowania potencjalnych wykonawców postępowaniami dot. zamówień publicznych, niska jakość dostarczonych produktów. Siła oddziaływania – średnia</w:t>
            </w:r>
            <w:r w:rsidRPr="00115323">
              <w:rPr>
                <w:rFonts w:cstheme="minorHAnsi"/>
                <w:sz w:val="18"/>
                <w:szCs w:val="18"/>
              </w:rPr>
              <w:t>;</w:t>
            </w:r>
            <w:r w:rsidR="00115323" w:rsidRPr="00115323">
              <w:rPr>
                <w:rFonts w:cstheme="minorHAnsi"/>
                <w:sz w:val="18"/>
                <w:szCs w:val="18"/>
              </w:rPr>
              <w:t xml:space="preserve"> Sposób zarzadzania ryzykiem </w:t>
            </w:r>
            <w:r w:rsidR="00115323">
              <w:rPr>
                <w:rFonts w:cstheme="minorHAnsi"/>
                <w:sz w:val="18"/>
                <w:szCs w:val="18"/>
              </w:rPr>
              <w:t>–</w:t>
            </w:r>
            <w:r w:rsidR="00115323" w:rsidRPr="00115323">
              <w:rPr>
                <w:rFonts w:cstheme="minorHAnsi"/>
                <w:sz w:val="18"/>
                <w:szCs w:val="18"/>
              </w:rPr>
              <w:t xml:space="preserve"> </w:t>
            </w:r>
            <w:r w:rsidR="00115323" w:rsidRPr="00115323">
              <w:rPr>
                <w:sz w:val="18"/>
                <w:szCs w:val="20"/>
              </w:rPr>
              <w:t>Realne formułowanie oczekiwań odnośnie do zakresu zamówień i kryteriów wyboru wykonawcy. Przeprowadzenie rozeznania rynku za pomocą procedury dialogu technicznego. Zmiana zakresu zadania za zgodą CPPC.</w:t>
            </w:r>
          </w:p>
          <w:p w14:paraId="7BDB7DA1" w14:textId="0A909B29" w:rsidR="00115323" w:rsidRPr="00115323" w:rsidRDefault="00D3762C" w:rsidP="00115323">
            <w:pPr>
              <w:pStyle w:val="Akapitzlist"/>
              <w:numPr>
                <w:ilvl w:val="0"/>
                <w:numId w:val="10"/>
              </w:numPr>
              <w:spacing w:before="120"/>
              <w:contextualSpacing w:val="0"/>
              <w:rPr>
                <w:sz w:val="18"/>
                <w:szCs w:val="20"/>
              </w:rPr>
            </w:pPr>
            <w:r w:rsidRPr="003436E4">
              <w:rPr>
                <w:sz w:val="18"/>
                <w:szCs w:val="18"/>
              </w:rPr>
              <w:t>Ryzyko rotacji w zespole</w:t>
            </w:r>
            <w:r w:rsidRPr="003470D0">
              <w:rPr>
                <w:sz w:val="18"/>
                <w:szCs w:val="18"/>
              </w:rPr>
              <w:t xml:space="preserve"> realizującym projekt, w szczególności pozyskanym w ramach </w:t>
            </w:r>
            <w:r w:rsidRPr="003470D0">
              <w:rPr>
                <w:rFonts w:ascii="Calibri" w:hAnsi="Calibri" w:cs="Calibri"/>
                <w:color w:val="000000"/>
                <w:sz w:val="18"/>
                <w:szCs w:val="18"/>
              </w:rPr>
              <w:t xml:space="preserve">usługi zapewnienia zasobów ludzkich z branży IT. </w:t>
            </w:r>
            <w:r w:rsidRPr="003470D0">
              <w:rPr>
                <w:sz w:val="18"/>
                <w:szCs w:val="20"/>
              </w:rPr>
              <w:t>Siła oddziaływania – średnia;</w:t>
            </w:r>
            <w:r w:rsidR="00115323">
              <w:rPr>
                <w:sz w:val="18"/>
                <w:szCs w:val="20"/>
              </w:rPr>
              <w:t xml:space="preserve"> Sposób zarzą</w:t>
            </w:r>
            <w:r w:rsidR="00115323" w:rsidRPr="00115323">
              <w:rPr>
                <w:sz w:val="18"/>
                <w:szCs w:val="20"/>
              </w:rPr>
              <w:t>dzania ryzykiem</w:t>
            </w:r>
            <w:r w:rsidR="00115323">
              <w:rPr>
                <w:sz w:val="18"/>
                <w:szCs w:val="20"/>
              </w:rPr>
              <w:t xml:space="preserve">: </w:t>
            </w:r>
            <w:r w:rsidR="00115323" w:rsidRPr="00115323">
              <w:rPr>
                <w:rFonts w:cstheme="minorHAnsi"/>
                <w:sz w:val="18"/>
                <w:szCs w:val="18"/>
              </w:rPr>
              <w:t>Zapewnienie wymiany wiedzy w zespole, zastępowalności, przygotowywanie dokumentacji portalu, motywowanie.</w:t>
            </w:r>
          </w:p>
          <w:p w14:paraId="2E6F88CB" w14:textId="4DB7B7FD" w:rsidR="00115323" w:rsidRPr="00115323" w:rsidRDefault="00D3762C" w:rsidP="00115323">
            <w:pPr>
              <w:pStyle w:val="Akapitzlist"/>
              <w:numPr>
                <w:ilvl w:val="0"/>
                <w:numId w:val="10"/>
              </w:numPr>
              <w:spacing w:before="120"/>
              <w:contextualSpacing w:val="0"/>
              <w:rPr>
                <w:rFonts w:ascii="Calibri" w:hAnsi="Calibri" w:cs="Calibri"/>
                <w:color w:val="000000"/>
                <w:sz w:val="18"/>
                <w:szCs w:val="18"/>
              </w:rPr>
            </w:pPr>
            <w:r w:rsidRPr="003470D0">
              <w:rPr>
                <w:rFonts w:ascii="Calibri" w:hAnsi="Calibri" w:cs="Calibri"/>
                <w:color w:val="000000"/>
                <w:sz w:val="18"/>
                <w:szCs w:val="18"/>
              </w:rPr>
              <w:t>Opóźnienie w implementacji funkcjonalności na portalu związane z ich złożonością.</w:t>
            </w:r>
            <w:r>
              <w:rPr>
                <w:rFonts w:ascii="Calibri" w:hAnsi="Calibri" w:cs="Calibri"/>
                <w:color w:val="000000"/>
                <w:sz w:val="18"/>
                <w:szCs w:val="18"/>
              </w:rPr>
              <w:t xml:space="preserve"> </w:t>
            </w:r>
            <w:r w:rsidRPr="000F1D4B">
              <w:rPr>
                <w:sz w:val="18"/>
                <w:szCs w:val="20"/>
              </w:rPr>
              <w:t>Siła oddziaływania – średnia;</w:t>
            </w:r>
            <w:r w:rsidR="00115323">
              <w:rPr>
                <w:sz w:val="18"/>
                <w:szCs w:val="20"/>
              </w:rPr>
              <w:t xml:space="preserve"> Sposób zarzą</w:t>
            </w:r>
            <w:r w:rsidR="00115323" w:rsidRPr="00115323">
              <w:rPr>
                <w:sz w:val="18"/>
                <w:szCs w:val="20"/>
              </w:rPr>
              <w:t>dzania ryzykiem</w:t>
            </w:r>
            <w:r w:rsidR="00115323">
              <w:rPr>
                <w:sz w:val="18"/>
                <w:szCs w:val="20"/>
              </w:rPr>
              <w:t xml:space="preserve">: </w:t>
            </w:r>
            <w:r w:rsidR="00115323" w:rsidRPr="00115323">
              <w:rPr>
                <w:rFonts w:cstheme="minorHAnsi"/>
                <w:sz w:val="18"/>
                <w:szCs w:val="18"/>
              </w:rPr>
              <w:t>zlecanie wykonania części prac w ramach zamówień publicznych, korzystanie z otwartych rozwiązań, zmiany w zakresie i budżecie projektu, elastyczne zarządzanie harmonogramem rozbudowy portalu.</w:t>
            </w:r>
          </w:p>
          <w:p w14:paraId="3C6CBD27" w14:textId="6BCD8694" w:rsidR="00115323" w:rsidRPr="00115323" w:rsidRDefault="00D3762C" w:rsidP="00115323">
            <w:pPr>
              <w:pStyle w:val="Akapitzlist"/>
              <w:numPr>
                <w:ilvl w:val="0"/>
                <w:numId w:val="10"/>
              </w:numPr>
              <w:spacing w:before="120"/>
              <w:contextualSpacing w:val="0"/>
              <w:rPr>
                <w:rFonts w:ascii="Calibri" w:hAnsi="Calibri" w:cs="Calibri"/>
                <w:color w:val="000000"/>
                <w:sz w:val="18"/>
                <w:szCs w:val="18"/>
              </w:rPr>
            </w:pPr>
            <w:r w:rsidRPr="003470D0">
              <w:rPr>
                <w:rFonts w:ascii="Calibri" w:hAnsi="Calibri" w:cs="Calibri"/>
                <w:color w:val="000000"/>
                <w:sz w:val="18"/>
                <w:szCs w:val="18"/>
              </w:rPr>
              <w:t>Opóźnienia w realizacji API Umowy NFZ spowodowane zmianami w sposobie kontraktowania świadczeń opieki zdrowotnej w ramach wprowadzonego Podstawowego Systemu Zabezpieczenia, kompleksowej opieki koordynowanej i zmiany w SI NFZ w zakresie struktury danych świadczeniodawców.</w:t>
            </w:r>
            <w:r>
              <w:rPr>
                <w:rFonts w:ascii="Calibri" w:hAnsi="Calibri" w:cs="Calibri"/>
                <w:color w:val="000000"/>
                <w:sz w:val="18"/>
                <w:szCs w:val="18"/>
              </w:rPr>
              <w:t xml:space="preserve"> </w:t>
            </w:r>
            <w:r w:rsidRPr="000F1D4B">
              <w:rPr>
                <w:sz w:val="18"/>
                <w:szCs w:val="20"/>
              </w:rPr>
              <w:t>Siła oddziaływania – średnia;</w:t>
            </w:r>
            <w:r w:rsidR="00115323">
              <w:rPr>
                <w:sz w:val="18"/>
                <w:szCs w:val="20"/>
              </w:rPr>
              <w:t xml:space="preserve"> Sposób zarzą</w:t>
            </w:r>
            <w:r w:rsidR="00115323" w:rsidRPr="00115323">
              <w:rPr>
                <w:sz w:val="18"/>
                <w:szCs w:val="20"/>
              </w:rPr>
              <w:t>dzania ryzykiem</w:t>
            </w:r>
            <w:r w:rsidR="00115323">
              <w:rPr>
                <w:sz w:val="18"/>
                <w:szCs w:val="20"/>
              </w:rPr>
              <w:t xml:space="preserve">: </w:t>
            </w:r>
            <w:r w:rsidR="00115323" w:rsidRPr="00115323">
              <w:rPr>
                <w:rFonts w:cstheme="minorHAnsi"/>
                <w:sz w:val="18"/>
                <w:szCs w:val="18"/>
              </w:rPr>
              <w:t xml:space="preserve">Przesunięcie terminu realizacji API Umowy oraz ustalenia z analitykiem danych z zakresu umów. </w:t>
            </w:r>
          </w:p>
          <w:p w14:paraId="32A15BE8" w14:textId="172B5BF4" w:rsidR="00115323" w:rsidRPr="00115323" w:rsidRDefault="00D3762C" w:rsidP="00115323">
            <w:pPr>
              <w:pStyle w:val="Akapitzlist"/>
              <w:numPr>
                <w:ilvl w:val="0"/>
                <w:numId w:val="10"/>
              </w:numPr>
              <w:spacing w:before="120"/>
              <w:contextualSpacing w:val="0"/>
              <w:rPr>
                <w:rFonts w:ascii="Calibri" w:hAnsi="Calibri" w:cs="Calibri"/>
                <w:color w:val="000000"/>
                <w:sz w:val="18"/>
                <w:szCs w:val="18"/>
              </w:rPr>
            </w:pPr>
            <w:r w:rsidRPr="003470D0">
              <w:rPr>
                <w:rFonts w:ascii="Calibri" w:hAnsi="Calibri" w:cs="Calibri"/>
                <w:color w:val="000000"/>
                <w:sz w:val="18"/>
                <w:szCs w:val="18"/>
              </w:rPr>
              <w:t>Możliwe niewydatkowanie środków u Partnera NFZ na wynagrodzenia dla zespołu projektowego i zwrot już poniesionych kosztów w zw. z zakwestionowaniem przez CPPC kwalifikowalności  dodatków zadaniowych personelu projektowego NFZ ze względu na niespełnienie wytycznych kwalifikowalności, wg których zasady przyznawania dodatku powinny być takie same dla personelu projektu i pozostałych pracowników.</w:t>
            </w:r>
            <w:r>
              <w:rPr>
                <w:rFonts w:ascii="Calibri" w:hAnsi="Calibri" w:cs="Calibri"/>
                <w:color w:val="000000"/>
                <w:sz w:val="18"/>
                <w:szCs w:val="18"/>
              </w:rPr>
              <w:t xml:space="preserve"> </w:t>
            </w:r>
            <w:r w:rsidRPr="000F1D4B">
              <w:rPr>
                <w:sz w:val="18"/>
                <w:szCs w:val="20"/>
              </w:rPr>
              <w:t xml:space="preserve">Siła oddziaływania – </w:t>
            </w:r>
            <w:r>
              <w:rPr>
                <w:sz w:val="18"/>
                <w:szCs w:val="20"/>
              </w:rPr>
              <w:t>wysoka</w:t>
            </w:r>
            <w:r w:rsidRPr="000F1D4B">
              <w:rPr>
                <w:sz w:val="18"/>
                <w:szCs w:val="20"/>
              </w:rPr>
              <w:t>;</w:t>
            </w:r>
            <w:r w:rsidR="00115323">
              <w:rPr>
                <w:sz w:val="18"/>
                <w:szCs w:val="20"/>
              </w:rPr>
              <w:t xml:space="preserve"> Sposób zarzą</w:t>
            </w:r>
            <w:r w:rsidR="00115323" w:rsidRPr="00115323">
              <w:rPr>
                <w:sz w:val="18"/>
                <w:szCs w:val="20"/>
              </w:rPr>
              <w:t>dzania ryzykiem</w:t>
            </w:r>
            <w:r w:rsidR="00115323">
              <w:rPr>
                <w:sz w:val="18"/>
                <w:szCs w:val="20"/>
              </w:rPr>
              <w:t xml:space="preserve">: </w:t>
            </w:r>
            <w:r w:rsidR="00115323" w:rsidRPr="00115323">
              <w:rPr>
                <w:rFonts w:cstheme="minorHAnsi"/>
                <w:sz w:val="18"/>
                <w:szCs w:val="18"/>
              </w:rPr>
              <w:t xml:space="preserve">Sporządzenie opinii prawnej przez BP NFZ wz. przyznawania dodatku zadaniowego w NFZ i zgodności z warunkami kwalifikowalności w "Wytycznych w zakresie kwalifikowalności…". </w:t>
            </w:r>
          </w:p>
          <w:p w14:paraId="08E66EB4" w14:textId="45E9A814" w:rsidR="00115323" w:rsidRPr="00115323" w:rsidRDefault="00D3762C" w:rsidP="00115323">
            <w:pPr>
              <w:pStyle w:val="Akapitzlist"/>
              <w:numPr>
                <w:ilvl w:val="0"/>
                <w:numId w:val="10"/>
              </w:numPr>
              <w:rPr>
                <w:i/>
              </w:rPr>
            </w:pPr>
            <w:proofErr w:type="spellStart"/>
            <w:r w:rsidRPr="00DF76DE">
              <w:rPr>
                <w:rFonts w:cstheme="minorHAnsi"/>
                <w:color w:val="000000"/>
                <w:sz w:val="18"/>
                <w:szCs w:val="18"/>
              </w:rPr>
              <w:t>Koronawirus</w:t>
            </w:r>
            <w:proofErr w:type="spellEnd"/>
            <w:r w:rsidRPr="00DF76DE">
              <w:rPr>
                <w:rFonts w:cstheme="minorHAnsi"/>
                <w:color w:val="000000"/>
                <w:sz w:val="18"/>
                <w:szCs w:val="18"/>
              </w:rPr>
              <w:t xml:space="preserve"> (COVID-19) - ryzyko </w:t>
            </w:r>
            <w:r>
              <w:rPr>
                <w:rFonts w:cstheme="minorHAnsi"/>
                <w:color w:val="000000"/>
                <w:sz w:val="18"/>
                <w:szCs w:val="18"/>
              </w:rPr>
              <w:t xml:space="preserve">opóźnień </w:t>
            </w:r>
            <w:r w:rsidRPr="00DF76DE">
              <w:rPr>
                <w:rFonts w:cstheme="minorHAnsi"/>
                <w:color w:val="000000"/>
                <w:sz w:val="18"/>
                <w:szCs w:val="18"/>
              </w:rPr>
              <w:t xml:space="preserve">prac </w:t>
            </w:r>
            <w:r w:rsidRPr="00501AFC">
              <w:rPr>
                <w:rFonts w:cstheme="minorHAnsi"/>
                <w:color w:val="000000"/>
                <w:sz w:val="18"/>
                <w:szCs w:val="18"/>
              </w:rPr>
              <w:t>wytwórczych</w:t>
            </w:r>
            <w:r>
              <w:rPr>
                <w:rFonts w:cstheme="minorHAnsi"/>
                <w:color w:val="000000"/>
                <w:sz w:val="18"/>
                <w:szCs w:val="18"/>
              </w:rPr>
              <w:t xml:space="preserve"> (portal) oraz ryzyko niewykonania pozostałych zadań realizowanych przez zespół projektowy (MC i BL). </w:t>
            </w:r>
            <w:r w:rsidRPr="000F1D4B">
              <w:rPr>
                <w:sz w:val="18"/>
                <w:szCs w:val="20"/>
              </w:rPr>
              <w:t>Siła oddziaływania – średnia</w:t>
            </w:r>
            <w:r w:rsidR="00115323">
              <w:rPr>
                <w:sz w:val="18"/>
                <w:szCs w:val="20"/>
              </w:rPr>
              <w:t>; Sposób zarzą</w:t>
            </w:r>
            <w:r w:rsidR="00115323" w:rsidRPr="00115323">
              <w:rPr>
                <w:sz w:val="18"/>
                <w:szCs w:val="20"/>
              </w:rPr>
              <w:t>dzania ryzykiem</w:t>
            </w:r>
            <w:r w:rsidR="00115323">
              <w:rPr>
                <w:sz w:val="18"/>
                <w:szCs w:val="20"/>
              </w:rPr>
              <w:t xml:space="preserve">: </w:t>
            </w:r>
            <w:r w:rsidR="00115323" w:rsidRPr="00115323">
              <w:rPr>
                <w:rFonts w:cstheme="minorHAnsi"/>
                <w:sz w:val="18"/>
                <w:szCs w:val="18"/>
              </w:rPr>
              <w:t>Przejście na pracę zdalną członków zespołu projektowego (MC i BL). Wystąpienie do CPPC o przesunięcie środków do projektu Otwarte dane plus.</w:t>
            </w:r>
          </w:p>
        </w:tc>
      </w:tr>
      <w:tr w:rsidR="00813FEF" w:rsidRPr="002450C4" w14:paraId="5826460A" w14:textId="77777777" w:rsidTr="00813FEF">
        <w:tc>
          <w:tcPr>
            <w:tcW w:w="480" w:type="dxa"/>
          </w:tcPr>
          <w:p w14:paraId="0989F89A" w14:textId="75CD1969" w:rsidR="00813FEF" w:rsidRPr="002450C4" w:rsidRDefault="00813FEF" w:rsidP="0058262E">
            <w:pPr>
              <w:pStyle w:val="Akapitzlist"/>
              <w:numPr>
                <w:ilvl w:val="0"/>
                <w:numId w:val="1"/>
              </w:numPr>
              <w:rPr>
                <w:sz w:val="18"/>
                <w:szCs w:val="20"/>
              </w:rPr>
            </w:pPr>
          </w:p>
        </w:tc>
        <w:tc>
          <w:tcPr>
            <w:tcW w:w="2350" w:type="dxa"/>
          </w:tcPr>
          <w:p w14:paraId="0D12DA2E" w14:textId="77777777" w:rsidR="00813FEF" w:rsidRDefault="009D3D41" w:rsidP="009D3D41">
            <w:pPr>
              <w:rPr>
                <w:sz w:val="18"/>
                <w:szCs w:val="20"/>
              </w:rPr>
            </w:pPr>
            <w:r>
              <w:rPr>
                <w:sz w:val="18"/>
                <w:szCs w:val="20"/>
              </w:rPr>
              <w:t>U</w:t>
            </w:r>
            <w:r w:rsidR="00813FEF">
              <w:rPr>
                <w:sz w:val="18"/>
                <w:szCs w:val="20"/>
              </w:rPr>
              <w:t xml:space="preserve">zyskane korzyści </w:t>
            </w:r>
          </w:p>
        </w:tc>
        <w:tc>
          <w:tcPr>
            <w:tcW w:w="6232" w:type="dxa"/>
          </w:tcPr>
          <w:p w14:paraId="28F2B437" w14:textId="40903D6F" w:rsidR="00171A77" w:rsidRPr="00062C1C" w:rsidRDefault="00171A77" w:rsidP="009D3D41">
            <w:pPr>
              <w:jc w:val="both"/>
              <w:rPr>
                <w:bCs/>
                <w:sz w:val="18"/>
                <w:szCs w:val="20"/>
              </w:rPr>
            </w:pPr>
            <w:r w:rsidRPr="00062C1C">
              <w:rPr>
                <w:bCs/>
                <w:sz w:val="18"/>
                <w:szCs w:val="20"/>
              </w:rPr>
              <w:t xml:space="preserve">Po przeprowadzonej ankiecie w 2016 roku użytkownicy zgłosili zapotrzebowanie na dane oraz zgłosili bariery w ich dostępie, m.in.: niekompletne dane, brak danych w </w:t>
            </w:r>
            <w:proofErr w:type="spellStart"/>
            <w:r w:rsidRPr="00062C1C">
              <w:rPr>
                <w:bCs/>
                <w:sz w:val="18"/>
                <w:szCs w:val="20"/>
              </w:rPr>
              <w:t>internecie</w:t>
            </w:r>
            <w:proofErr w:type="spellEnd"/>
            <w:r w:rsidRPr="00062C1C">
              <w:rPr>
                <w:bCs/>
                <w:sz w:val="18"/>
                <w:szCs w:val="20"/>
              </w:rPr>
              <w:t>, konieczność złożenia wniosku o dostęp do danych, zamknięty format danych, nieaktualne dane.</w:t>
            </w:r>
          </w:p>
          <w:p w14:paraId="583F69DC" w14:textId="04E2A954" w:rsidR="0052037E" w:rsidRPr="0052037E" w:rsidRDefault="00B44360" w:rsidP="0052037E">
            <w:pPr>
              <w:rPr>
                <w:rFonts w:ascii="Calibri" w:hAnsi="Calibri" w:cs="Calibri"/>
                <w:sz w:val="18"/>
                <w:szCs w:val="18"/>
              </w:rPr>
            </w:pPr>
            <w:r>
              <w:rPr>
                <w:rFonts w:ascii="Calibri" w:hAnsi="Calibri" w:cs="Calibri"/>
                <w:sz w:val="18"/>
                <w:szCs w:val="18"/>
              </w:rPr>
              <w:t xml:space="preserve">W ramach projektu zbudowano </w:t>
            </w:r>
            <w:r w:rsidR="00171A77">
              <w:rPr>
                <w:rFonts w:ascii="Calibri" w:hAnsi="Calibri" w:cs="Calibri"/>
                <w:sz w:val="18"/>
                <w:szCs w:val="18"/>
              </w:rPr>
              <w:t>j</w:t>
            </w:r>
            <w:r w:rsidR="0052037E" w:rsidRPr="0052037E">
              <w:rPr>
                <w:rFonts w:ascii="Calibri" w:hAnsi="Calibri" w:cs="Calibri"/>
                <w:sz w:val="18"/>
                <w:szCs w:val="18"/>
              </w:rPr>
              <w:t xml:space="preserve">eden oficjalny portal internetowy udostępniający </w:t>
            </w:r>
            <w:r w:rsidR="00640540">
              <w:rPr>
                <w:rFonts w:ascii="Calibri" w:hAnsi="Calibri" w:cs="Calibri"/>
                <w:sz w:val="18"/>
                <w:szCs w:val="18"/>
              </w:rPr>
              <w:t xml:space="preserve">otwarte </w:t>
            </w:r>
            <w:r w:rsidR="0052037E" w:rsidRPr="0052037E">
              <w:rPr>
                <w:rFonts w:ascii="Calibri" w:hAnsi="Calibri" w:cs="Calibri"/>
                <w:sz w:val="18"/>
                <w:szCs w:val="18"/>
              </w:rPr>
              <w:t>dane publiczne, materiały edukacyjne oraz narzędzia analityczne i developerskie dla wszystkich użytkowników</w:t>
            </w:r>
            <w:r w:rsidR="0052037E">
              <w:rPr>
                <w:rFonts w:ascii="Calibri" w:hAnsi="Calibri" w:cs="Calibri"/>
                <w:sz w:val="18"/>
                <w:szCs w:val="18"/>
              </w:rPr>
              <w:t xml:space="preserve">. </w:t>
            </w:r>
            <w:r>
              <w:rPr>
                <w:rFonts w:ascii="Calibri" w:hAnsi="Calibri" w:cs="Calibri"/>
                <w:sz w:val="18"/>
                <w:szCs w:val="18"/>
              </w:rPr>
              <w:t>Dostępne są n</w:t>
            </w:r>
            <w:r w:rsidR="0052037E" w:rsidRPr="0052037E">
              <w:rPr>
                <w:rFonts w:ascii="Calibri" w:hAnsi="Calibri" w:cs="Calibri"/>
                <w:sz w:val="18"/>
                <w:szCs w:val="18"/>
              </w:rPr>
              <w:t>arzędzia ułatwiające podgląd, wstępną analizę udostępnianych danych i ich ponowne wykorzystanie (np. w usługach)</w:t>
            </w:r>
            <w:r>
              <w:rPr>
                <w:rFonts w:ascii="Calibri" w:hAnsi="Calibri" w:cs="Calibri"/>
                <w:sz w:val="18"/>
                <w:szCs w:val="18"/>
              </w:rPr>
              <w:t>.</w:t>
            </w:r>
            <w:r w:rsidR="00171A77">
              <w:rPr>
                <w:rFonts w:ascii="Calibri" w:hAnsi="Calibri" w:cs="Calibri"/>
                <w:sz w:val="18"/>
                <w:szCs w:val="18"/>
              </w:rPr>
              <w:t xml:space="preserve"> </w:t>
            </w:r>
          </w:p>
          <w:p w14:paraId="02A53D03" w14:textId="77777777" w:rsidR="005B3C03" w:rsidRDefault="005B3C03" w:rsidP="009D3D41">
            <w:pPr>
              <w:jc w:val="both"/>
              <w:rPr>
                <w:bCs/>
                <w:i/>
                <w:sz w:val="18"/>
                <w:szCs w:val="20"/>
              </w:rPr>
            </w:pPr>
          </w:p>
          <w:p w14:paraId="253E0A85" w14:textId="789194FA" w:rsidR="00171A77" w:rsidRPr="0052037E" w:rsidRDefault="0052037E" w:rsidP="0052037E">
            <w:pPr>
              <w:spacing w:before="120"/>
              <w:jc w:val="both"/>
              <w:rPr>
                <w:bCs/>
                <w:i/>
                <w:sz w:val="18"/>
                <w:szCs w:val="18"/>
              </w:rPr>
            </w:pPr>
            <w:r w:rsidRPr="00890E88">
              <w:rPr>
                <w:sz w:val="18"/>
                <w:szCs w:val="18"/>
              </w:rPr>
              <w:lastRenderedPageBreak/>
              <w:t xml:space="preserve">Liczba użytkowników i pobrań danych z portalu dane.gov.pl, są </w:t>
            </w:r>
            <w:r w:rsidR="00B44360">
              <w:rPr>
                <w:sz w:val="18"/>
                <w:szCs w:val="18"/>
              </w:rPr>
              <w:t xml:space="preserve">i będą </w:t>
            </w:r>
            <w:r w:rsidRPr="00890E88">
              <w:rPr>
                <w:sz w:val="18"/>
                <w:szCs w:val="18"/>
              </w:rPr>
              <w:t>udostępni</w:t>
            </w:r>
            <w:r w:rsidR="00B44360">
              <w:rPr>
                <w:sz w:val="18"/>
                <w:szCs w:val="18"/>
              </w:rPr>
              <w:t>a</w:t>
            </w:r>
            <w:r w:rsidRPr="00890E88">
              <w:rPr>
                <w:sz w:val="18"/>
                <w:szCs w:val="18"/>
              </w:rPr>
              <w:t>ne na portalu widok.gov.pl</w:t>
            </w:r>
          </w:p>
        </w:tc>
      </w:tr>
      <w:tr w:rsidR="00F82254" w:rsidRPr="002450C4" w14:paraId="2D87A322" w14:textId="77777777" w:rsidTr="00813FEF">
        <w:tc>
          <w:tcPr>
            <w:tcW w:w="480" w:type="dxa"/>
          </w:tcPr>
          <w:p w14:paraId="4F59D08A" w14:textId="77777777" w:rsidR="00F82254" w:rsidRPr="002450C4" w:rsidRDefault="00F82254" w:rsidP="0058262E">
            <w:pPr>
              <w:pStyle w:val="Akapitzlist"/>
              <w:numPr>
                <w:ilvl w:val="0"/>
                <w:numId w:val="1"/>
              </w:numPr>
              <w:rPr>
                <w:sz w:val="18"/>
                <w:szCs w:val="20"/>
              </w:rPr>
            </w:pPr>
          </w:p>
        </w:tc>
        <w:tc>
          <w:tcPr>
            <w:tcW w:w="2350" w:type="dxa"/>
          </w:tcPr>
          <w:p w14:paraId="43A20EFB" w14:textId="77777777" w:rsidR="00F82254" w:rsidRDefault="00F82254" w:rsidP="00F82254">
            <w:pPr>
              <w:rPr>
                <w:sz w:val="18"/>
                <w:szCs w:val="20"/>
              </w:rPr>
            </w:pPr>
            <w:r>
              <w:rPr>
                <w:sz w:val="18"/>
                <w:szCs w:val="20"/>
              </w:rPr>
              <w:t>E-usługi i r</w:t>
            </w:r>
            <w:r w:rsidRPr="00F82254">
              <w:rPr>
                <w:sz w:val="18"/>
                <w:szCs w:val="20"/>
              </w:rPr>
              <w:t>ejestry z jakimi zintegrował się wytworzony system w ramach realizacji projektu</w:t>
            </w:r>
          </w:p>
        </w:tc>
        <w:tc>
          <w:tcPr>
            <w:tcW w:w="6232" w:type="dxa"/>
          </w:tcPr>
          <w:p w14:paraId="2A919180" w14:textId="7F9DEB8A" w:rsidR="002C2550" w:rsidRPr="0068614E" w:rsidRDefault="002C2550" w:rsidP="002C2550">
            <w:pPr>
              <w:spacing w:before="120"/>
              <w:jc w:val="both"/>
              <w:rPr>
                <w:bCs/>
                <w:sz w:val="18"/>
                <w:szCs w:val="20"/>
              </w:rPr>
            </w:pPr>
            <w:r w:rsidRPr="0068614E">
              <w:rPr>
                <w:bCs/>
                <w:sz w:val="18"/>
                <w:szCs w:val="20"/>
              </w:rPr>
              <w:t>Nie dotyczy</w:t>
            </w:r>
          </w:p>
        </w:tc>
      </w:tr>
      <w:tr w:rsidR="007C54F9" w:rsidRPr="002450C4" w14:paraId="19C8ED10" w14:textId="77777777" w:rsidTr="00813FEF">
        <w:tc>
          <w:tcPr>
            <w:tcW w:w="480" w:type="dxa"/>
          </w:tcPr>
          <w:p w14:paraId="478A1BB4" w14:textId="77777777" w:rsidR="007C54F9" w:rsidRPr="002450C4" w:rsidRDefault="007C54F9" w:rsidP="0058262E">
            <w:pPr>
              <w:pStyle w:val="Akapitzlist"/>
              <w:numPr>
                <w:ilvl w:val="0"/>
                <w:numId w:val="1"/>
              </w:numPr>
              <w:rPr>
                <w:sz w:val="18"/>
                <w:szCs w:val="20"/>
              </w:rPr>
            </w:pPr>
          </w:p>
        </w:tc>
        <w:tc>
          <w:tcPr>
            <w:tcW w:w="2350" w:type="dxa"/>
          </w:tcPr>
          <w:p w14:paraId="1855A5C1" w14:textId="77777777" w:rsidR="007C54F9" w:rsidRDefault="003B7BD6" w:rsidP="007C54F9">
            <w:pPr>
              <w:rPr>
                <w:sz w:val="18"/>
                <w:szCs w:val="20"/>
              </w:rPr>
            </w:pPr>
            <w:r>
              <w:rPr>
                <w:sz w:val="18"/>
                <w:szCs w:val="20"/>
              </w:rPr>
              <w:t>Zapewnienie utrzymania projektu (w okresie trwałości)</w:t>
            </w:r>
          </w:p>
        </w:tc>
        <w:tc>
          <w:tcPr>
            <w:tcW w:w="6232" w:type="dxa"/>
          </w:tcPr>
          <w:p w14:paraId="28C49D07" w14:textId="3F1F5DA1" w:rsidR="00995737" w:rsidRPr="0068614E" w:rsidRDefault="00995737" w:rsidP="00995737">
            <w:pPr>
              <w:spacing w:before="120"/>
              <w:jc w:val="both"/>
              <w:rPr>
                <w:bCs/>
                <w:sz w:val="18"/>
                <w:szCs w:val="20"/>
              </w:rPr>
            </w:pPr>
            <w:r w:rsidRPr="0068614E">
              <w:rPr>
                <w:bCs/>
                <w:sz w:val="18"/>
                <w:szCs w:val="20"/>
              </w:rPr>
              <w:t xml:space="preserve">Portal dane.gov.pl będzie utrzymany z budżetu Ministerstwa Cyfryzacji. </w:t>
            </w:r>
          </w:p>
        </w:tc>
      </w:tr>
      <w:tr w:rsidR="009D3D41" w:rsidRPr="002450C4" w14:paraId="05761745" w14:textId="77777777" w:rsidTr="00813FEF">
        <w:tc>
          <w:tcPr>
            <w:tcW w:w="480" w:type="dxa"/>
          </w:tcPr>
          <w:p w14:paraId="4C3B3848" w14:textId="77777777" w:rsidR="009D3D41" w:rsidRPr="002450C4" w:rsidRDefault="009D3D41" w:rsidP="0058262E">
            <w:pPr>
              <w:pStyle w:val="Akapitzlist"/>
              <w:numPr>
                <w:ilvl w:val="0"/>
                <w:numId w:val="1"/>
              </w:numPr>
              <w:rPr>
                <w:sz w:val="18"/>
                <w:szCs w:val="20"/>
              </w:rPr>
            </w:pPr>
          </w:p>
        </w:tc>
        <w:tc>
          <w:tcPr>
            <w:tcW w:w="2350" w:type="dxa"/>
          </w:tcPr>
          <w:p w14:paraId="16EB0836" w14:textId="77777777" w:rsidR="009D3D41" w:rsidRDefault="009D3D41" w:rsidP="007E6098">
            <w:pPr>
              <w:rPr>
                <w:sz w:val="18"/>
                <w:szCs w:val="20"/>
              </w:rPr>
            </w:pPr>
            <w:r>
              <w:rPr>
                <w:sz w:val="18"/>
                <w:szCs w:val="20"/>
              </w:rPr>
              <w:t>Doświadczenia związane z realizacją projektu</w:t>
            </w:r>
          </w:p>
        </w:tc>
        <w:tc>
          <w:tcPr>
            <w:tcW w:w="6232" w:type="dxa"/>
          </w:tcPr>
          <w:p w14:paraId="175A940E" w14:textId="4EB4F97A" w:rsidR="00995737" w:rsidRPr="00254A11" w:rsidRDefault="00995737" w:rsidP="00254A11">
            <w:pPr>
              <w:pStyle w:val="Akapitzlist"/>
              <w:numPr>
                <w:ilvl w:val="0"/>
                <w:numId w:val="7"/>
              </w:numPr>
              <w:spacing w:before="120"/>
              <w:jc w:val="both"/>
              <w:rPr>
                <w:bCs/>
                <w:sz w:val="18"/>
                <w:szCs w:val="20"/>
              </w:rPr>
            </w:pPr>
            <w:r w:rsidRPr="00254A11">
              <w:rPr>
                <w:bCs/>
                <w:sz w:val="18"/>
                <w:szCs w:val="20"/>
              </w:rPr>
              <w:t xml:space="preserve">Zespół uzupełnił kwalifikacje w zakresie niezbędnym do realizacji projektu, zarządzania projektem i </w:t>
            </w:r>
            <w:proofErr w:type="spellStart"/>
            <w:r w:rsidRPr="00254A11">
              <w:rPr>
                <w:bCs/>
                <w:sz w:val="18"/>
                <w:szCs w:val="20"/>
              </w:rPr>
              <w:t>ryzykami</w:t>
            </w:r>
            <w:proofErr w:type="spellEnd"/>
            <w:r w:rsidRPr="00254A11">
              <w:rPr>
                <w:bCs/>
                <w:sz w:val="18"/>
                <w:szCs w:val="20"/>
              </w:rPr>
              <w:t xml:space="preserve"> pozytywne</w:t>
            </w:r>
            <w:r w:rsidR="00254A11" w:rsidRPr="00254A11">
              <w:rPr>
                <w:bCs/>
                <w:sz w:val="18"/>
                <w:szCs w:val="20"/>
              </w:rPr>
              <w:t>. Rekomendacja - Wspieranie doskonalenia i podnoszenia kompetencji w zespole i zapewnienie środków w budżecie projektu na ten cel;</w:t>
            </w:r>
          </w:p>
          <w:p w14:paraId="5F7EE201" w14:textId="16CA2105" w:rsidR="00995737" w:rsidRPr="00254A11" w:rsidRDefault="00995737" w:rsidP="003470D0">
            <w:pPr>
              <w:pStyle w:val="Akapitzlist"/>
              <w:numPr>
                <w:ilvl w:val="0"/>
                <w:numId w:val="7"/>
              </w:numPr>
              <w:spacing w:before="120"/>
              <w:ind w:left="714" w:hanging="357"/>
              <w:contextualSpacing w:val="0"/>
              <w:jc w:val="both"/>
              <w:rPr>
                <w:bCs/>
                <w:sz w:val="18"/>
                <w:szCs w:val="20"/>
              </w:rPr>
            </w:pPr>
            <w:r w:rsidRPr="00254A11">
              <w:rPr>
                <w:bCs/>
                <w:sz w:val="18"/>
                <w:szCs w:val="20"/>
              </w:rPr>
              <w:t>Odbywały się regularne spotkania i statusy, które pozwoliły na bieżącą wymianę wiedzy i doświadczeń oraz na efektywną współpracę w zespołach „ad hoc” , w których konsultowane były przekrojowe zagadnienia ( np. merytoryczny program szkoleń czy treści edukacyjne) –</w:t>
            </w:r>
            <w:r w:rsidR="00254A11" w:rsidRPr="00254A11">
              <w:rPr>
                <w:bCs/>
                <w:sz w:val="18"/>
                <w:szCs w:val="20"/>
              </w:rPr>
              <w:t xml:space="preserve"> pozytywne. Rekomendacja - Dbałość o komunikację w projekcie i przepływ wiedzy w strukturze projektowej;</w:t>
            </w:r>
          </w:p>
          <w:p w14:paraId="6B92B38E" w14:textId="040D29DE" w:rsidR="00995737" w:rsidRPr="00254A11" w:rsidRDefault="00995737" w:rsidP="003470D0">
            <w:pPr>
              <w:pStyle w:val="Akapitzlist"/>
              <w:numPr>
                <w:ilvl w:val="0"/>
                <w:numId w:val="7"/>
              </w:numPr>
              <w:spacing w:before="120"/>
              <w:ind w:left="714" w:hanging="357"/>
              <w:contextualSpacing w:val="0"/>
              <w:jc w:val="both"/>
              <w:rPr>
                <w:bCs/>
                <w:sz w:val="18"/>
                <w:szCs w:val="20"/>
              </w:rPr>
            </w:pPr>
            <w:r w:rsidRPr="00254A11">
              <w:rPr>
                <w:bCs/>
                <w:sz w:val="18"/>
                <w:szCs w:val="20"/>
              </w:rPr>
              <w:t xml:space="preserve">Następowała wymiana kadry w zespole </w:t>
            </w:r>
            <w:r w:rsidR="002620B9">
              <w:rPr>
                <w:bCs/>
                <w:sz w:val="18"/>
                <w:szCs w:val="20"/>
              </w:rPr>
              <w:t>body leasingu (dalej BL)</w:t>
            </w:r>
            <w:r w:rsidRPr="00254A11">
              <w:rPr>
                <w:bCs/>
                <w:sz w:val="18"/>
                <w:szCs w:val="20"/>
              </w:rPr>
              <w:t xml:space="preserve"> na którą biznes nie miał żadnego wpływu. Następnie przedłużały się rekrutacje lub przedstawiano oferty pozornie spełniające kryteria. Zdarzało się, że nie informowano kierownika projektu o planowanych zmianach/rezygnacji ze  współpracy z podwykonawcami BL, których konsultanci są zaangażowani w zadania projektowe –</w:t>
            </w:r>
            <w:r w:rsidR="00254A11" w:rsidRPr="00254A11">
              <w:rPr>
                <w:bCs/>
                <w:sz w:val="18"/>
                <w:szCs w:val="20"/>
              </w:rPr>
              <w:t xml:space="preserve"> negatywne. Rekomendacja - Zapewnienie mechanizmów szybkiego reagowania na nieprawidłowości oraz większa odpowiedzialność po stronie BL;</w:t>
            </w:r>
          </w:p>
          <w:p w14:paraId="032F30BA" w14:textId="2707CAA5" w:rsidR="00995737" w:rsidRPr="00254A11" w:rsidRDefault="00995737" w:rsidP="003470D0">
            <w:pPr>
              <w:pStyle w:val="Akapitzlist"/>
              <w:numPr>
                <w:ilvl w:val="0"/>
                <w:numId w:val="7"/>
              </w:numPr>
              <w:spacing w:before="120"/>
              <w:ind w:left="714" w:hanging="357"/>
              <w:contextualSpacing w:val="0"/>
              <w:jc w:val="both"/>
              <w:rPr>
                <w:bCs/>
                <w:sz w:val="18"/>
                <w:szCs w:val="20"/>
              </w:rPr>
            </w:pPr>
            <w:r w:rsidRPr="00254A11">
              <w:rPr>
                <w:bCs/>
                <w:sz w:val="18"/>
                <w:szCs w:val="20"/>
              </w:rPr>
              <w:t>Odbywały się szkolenia wewnętrzne w organizacji, co zapewniło  bieżące wyrównanie poziomu wiedzy i kompetencji –</w:t>
            </w:r>
            <w:r w:rsidR="00254A11" w:rsidRPr="00254A11">
              <w:rPr>
                <w:bCs/>
                <w:sz w:val="18"/>
                <w:szCs w:val="20"/>
              </w:rPr>
              <w:t xml:space="preserve"> pozytywne. Rekomendacja - Organizowanie szkoleń wewnętrznych w organizacji, także z udziałem partnerów w kluczowych dla projektu w obszarach takich jak zamówienia publiczne, rozliczanie projektu, zasady kwalifikowalności, realizacja projektu zgodnie z metodyką;</w:t>
            </w:r>
          </w:p>
          <w:p w14:paraId="37DD32BF" w14:textId="1D63EED6" w:rsidR="00995737" w:rsidRPr="00254A11" w:rsidRDefault="00995737" w:rsidP="003470D0">
            <w:pPr>
              <w:pStyle w:val="Akapitzlist"/>
              <w:numPr>
                <w:ilvl w:val="0"/>
                <w:numId w:val="7"/>
              </w:numPr>
              <w:spacing w:before="120"/>
              <w:ind w:left="714" w:hanging="357"/>
              <w:contextualSpacing w:val="0"/>
              <w:jc w:val="both"/>
              <w:rPr>
                <w:bCs/>
                <w:sz w:val="18"/>
                <w:szCs w:val="20"/>
              </w:rPr>
            </w:pPr>
            <w:r w:rsidRPr="00254A11">
              <w:rPr>
                <w:bCs/>
                <w:sz w:val="18"/>
                <w:szCs w:val="20"/>
              </w:rPr>
              <w:t>Wszystkie dokumenty projektowe były uporządkowane w jednym źródle i dostępne dla całego zespołu projektowego –</w:t>
            </w:r>
            <w:r w:rsidR="00254A11" w:rsidRPr="00254A11">
              <w:rPr>
                <w:bCs/>
                <w:sz w:val="18"/>
                <w:szCs w:val="20"/>
              </w:rPr>
              <w:t xml:space="preserve"> pozytywne. Rekomendacja - Dbałość o miejsce i sposób składowania dokumentów projektowych;</w:t>
            </w:r>
          </w:p>
          <w:p w14:paraId="00AD4148" w14:textId="7D0E69E0" w:rsidR="00995737" w:rsidRPr="00254A11" w:rsidRDefault="00995737" w:rsidP="003470D0">
            <w:pPr>
              <w:pStyle w:val="Akapitzlist"/>
              <w:numPr>
                <w:ilvl w:val="0"/>
                <w:numId w:val="7"/>
              </w:numPr>
              <w:spacing w:before="120"/>
              <w:ind w:left="714" w:hanging="357"/>
              <w:contextualSpacing w:val="0"/>
              <w:jc w:val="both"/>
              <w:rPr>
                <w:bCs/>
                <w:sz w:val="18"/>
                <w:szCs w:val="20"/>
              </w:rPr>
            </w:pPr>
            <w:r w:rsidRPr="00254A11">
              <w:rPr>
                <w:bCs/>
                <w:sz w:val="18"/>
                <w:szCs w:val="20"/>
              </w:rPr>
              <w:t>Zostały opracowane w Departamencie procedury  obiegu dokumentacji zamówieniowo-finansowej –</w:t>
            </w:r>
            <w:r w:rsidR="00254A11" w:rsidRPr="00254A11">
              <w:rPr>
                <w:bCs/>
                <w:sz w:val="18"/>
                <w:szCs w:val="20"/>
              </w:rPr>
              <w:t xml:space="preserve"> pozytywne. Rekomendacja - Wypracowanie procedury komunikacji zamówieniowo-finansowej wew. projektu. Usytuowanie osoby odpowiedzialna za finanse projektowe przy kierowniku projektu i zespole projektowym  w departamencie będącym właścicielem biznesowym;</w:t>
            </w:r>
          </w:p>
          <w:p w14:paraId="2C49941B" w14:textId="4865EE76" w:rsidR="00995737" w:rsidRPr="00254A11" w:rsidRDefault="00995737" w:rsidP="003470D0">
            <w:pPr>
              <w:pStyle w:val="Akapitzlist"/>
              <w:numPr>
                <w:ilvl w:val="0"/>
                <w:numId w:val="7"/>
              </w:numPr>
              <w:spacing w:before="120"/>
              <w:ind w:left="714" w:hanging="357"/>
              <w:contextualSpacing w:val="0"/>
              <w:jc w:val="both"/>
              <w:rPr>
                <w:bCs/>
                <w:sz w:val="18"/>
                <w:szCs w:val="20"/>
              </w:rPr>
            </w:pPr>
            <w:r w:rsidRPr="00254A11">
              <w:rPr>
                <w:bCs/>
                <w:sz w:val="18"/>
                <w:szCs w:val="20"/>
              </w:rPr>
              <w:t>Funkcjonowały niezależnie  oddzielne narzędzia w ramach MC i BL do prowadzenia i rozliczania projektu – negatywne</w:t>
            </w:r>
            <w:r w:rsidR="00254A11" w:rsidRPr="00254A11">
              <w:rPr>
                <w:bCs/>
                <w:sz w:val="18"/>
                <w:szCs w:val="20"/>
              </w:rPr>
              <w:t>. Rekomendacja - Nie mnożyć narzędzi do prowadzenia projektu i rozliczalności konsultantów;</w:t>
            </w:r>
          </w:p>
          <w:p w14:paraId="640FD04F" w14:textId="080BE49F" w:rsidR="00995737" w:rsidRPr="00254A11" w:rsidRDefault="00995737" w:rsidP="003470D0">
            <w:pPr>
              <w:pStyle w:val="Akapitzlist"/>
              <w:numPr>
                <w:ilvl w:val="0"/>
                <w:numId w:val="7"/>
              </w:numPr>
              <w:spacing w:before="120"/>
              <w:ind w:left="714" w:hanging="357"/>
              <w:contextualSpacing w:val="0"/>
              <w:jc w:val="both"/>
              <w:rPr>
                <w:bCs/>
                <w:sz w:val="18"/>
                <w:szCs w:val="20"/>
              </w:rPr>
            </w:pPr>
            <w:r w:rsidRPr="00254A11">
              <w:rPr>
                <w:bCs/>
                <w:sz w:val="18"/>
                <w:szCs w:val="20"/>
              </w:rPr>
              <w:t xml:space="preserve">Jednym z wymiernych rezultatów wymiany poglądów w trakcie wizyt studyjnych, była analiza wykorzystania technologii CKAN w budowie portalu a w rezultacie odejście od niej na rzecz oprogramowania open </w:t>
            </w:r>
            <w:proofErr w:type="spellStart"/>
            <w:r w:rsidRPr="00254A11">
              <w:rPr>
                <w:bCs/>
                <w:sz w:val="18"/>
                <w:szCs w:val="20"/>
              </w:rPr>
              <w:t>source</w:t>
            </w:r>
            <w:proofErr w:type="spellEnd"/>
            <w:r w:rsidRPr="00254A11">
              <w:rPr>
                <w:bCs/>
                <w:sz w:val="18"/>
                <w:szCs w:val="20"/>
              </w:rPr>
              <w:t xml:space="preserve"> –</w:t>
            </w:r>
            <w:r w:rsidR="00254A11" w:rsidRPr="00254A11">
              <w:rPr>
                <w:bCs/>
                <w:sz w:val="18"/>
                <w:szCs w:val="20"/>
              </w:rPr>
              <w:t xml:space="preserve"> pozytywne. Rekomendacja - Wspieranie działań sieciujących i umożliwiających wymianę dobrych praktyk uczestników projektu między sobą i instytucjami – odpowiednikami w UE oraz z partnerami z </w:t>
            </w:r>
            <w:proofErr w:type="spellStart"/>
            <w:r w:rsidR="00254A11" w:rsidRPr="00254A11">
              <w:rPr>
                <w:bCs/>
                <w:sz w:val="18"/>
                <w:szCs w:val="20"/>
              </w:rPr>
              <w:t>jst</w:t>
            </w:r>
            <w:proofErr w:type="spellEnd"/>
            <w:r w:rsidR="00254A11" w:rsidRPr="00254A11">
              <w:rPr>
                <w:bCs/>
                <w:sz w:val="18"/>
                <w:szCs w:val="20"/>
              </w:rPr>
              <w:t xml:space="preserve"> w kraju (m.in. krajowe i zagraniczne wizyty studyjne);</w:t>
            </w:r>
          </w:p>
          <w:p w14:paraId="3B9D7D22" w14:textId="743B5CA8" w:rsidR="00995737" w:rsidRPr="00254A11" w:rsidRDefault="00995737" w:rsidP="003470D0">
            <w:pPr>
              <w:pStyle w:val="Akapitzlist"/>
              <w:numPr>
                <w:ilvl w:val="0"/>
                <w:numId w:val="7"/>
              </w:numPr>
              <w:spacing w:before="120"/>
              <w:ind w:left="714" w:hanging="357"/>
              <w:contextualSpacing w:val="0"/>
              <w:jc w:val="both"/>
              <w:rPr>
                <w:bCs/>
                <w:sz w:val="18"/>
                <w:szCs w:val="20"/>
              </w:rPr>
            </w:pPr>
            <w:r w:rsidRPr="00254A11">
              <w:rPr>
                <w:bCs/>
                <w:sz w:val="18"/>
                <w:szCs w:val="20"/>
              </w:rPr>
              <w:t>Stała współpraca zespołu realizującego projekt z osobą koordynującą finanse, pozwoliła na bieżące i responsywne korygowanie budżetu –</w:t>
            </w:r>
            <w:r w:rsidR="00254A11" w:rsidRPr="00254A11">
              <w:rPr>
                <w:bCs/>
                <w:sz w:val="18"/>
                <w:szCs w:val="20"/>
              </w:rPr>
              <w:t xml:space="preserve"> pozytywne. Rekomendacja - Każdy projekt powinien mieć osobę odpowiedzialną za finanse do swojej dyspozycji, dostępną w każdym czasie i bezpośrednio na potrzeby Kierownika Projektu;</w:t>
            </w:r>
          </w:p>
          <w:p w14:paraId="06C06ECD" w14:textId="4776570B" w:rsidR="00995737" w:rsidRPr="00254A11" w:rsidRDefault="00995737" w:rsidP="00254A11">
            <w:pPr>
              <w:pStyle w:val="Akapitzlist"/>
              <w:numPr>
                <w:ilvl w:val="0"/>
                <w:numId w:val="7"/>
              </w:numPr>
              <w:spacing w:before="120"/>
              <w:contextualSpacing w:val="0"/>
              <w:jc w:val="both"/>
              <w:rPr>
                <w:bCs/>
                <w:sz w:val="18"/>
                <w:szCs w:val="20"/>
              </w:rPr>
            </w:pPr>
            <w:r w:rsidRPr="00254A11">
              <w:rPr>
                <w:bCs/>
                <w:sz w:val="18"/>
                <w:szCs w:val="20"/>
              </w:rPr>
              <w:lastRenderedPageBreak/>
              <w:t>Brak identyfikacji konsultantów BL z projektem i instytucją realizującą projekt, co skutkowało niskim zaangażowaniem i brakiem dbałości o końcowe efekty prac –</w:t>
            </w:r>
            <w:r w:rsidR="00254A11" w:rsidRPr="00254A11">
              <w:rPr>
                <w:bCs/>
                <w:sz w:val="18"/>
                <w:szCs w:val="20"/>
              </w:rPr>
              <w:t xml:space="preserve"> negatywne. Rekomendacja - Zapewnienie przez firmę dostarczającą konsultantów BL mniejszej rotacji kadr. Możliwość większej integracji członków zespołu BL z pracownikami instytucji realizującej projekt;</w:t>
            </w:r>
          </w:p>
          <w:p w14:paraId="7A655B6E" w14:textId="3224922D" w:rsidR="00995737" w:rsidRPr="00254A11" w:rsidRDefault="00995737" w:rsidP="003470D0">
            <w:pPr>
              <w:pStyle w:val="Akapitzlist"/>
              <w:numPr>
                <w:ilvl w:val="0"/>
                <w:numId w:val="7"/>
              </w:numPr>
              <w:spacing w:before="120"/>
              <w:ind w:left="714" w:hanging="357"/>
              <w:contextualSpacing w:val="0"/>
              <w:jc w:val="both"/>
              <w:rPr>
                <w:bCs/>
                <w:sz w:val="18"/>
                <w:szCs w:val="20"/>
              </w:rPr>
            </w:pPr>
            <w:r w:rsidRPr="00254A11">
              <w:rPr>
                <w:bCs/>
                <w:sz w:val="18"/>
                <w:szCs w:val="20"/>
              </w:rPr>
              <w:t>Małe zainteresowanie firmy dostarczającej konsultantów BL efektami realizacji i jakością prac konsultantów BL –</w:t>
            </w:r>
            <w:r w:rsidR="00254A11" w:rsidRPr="00254A11">
              <w:rPr>
                <w:bCs/>
                <w:sz w:val="18"/>
                <w:szCs w:val="20"/>
              </w:rPr>
              <w:t xml:space="preserve"> negatywne. Rekomendacja – zmiana modelu zatrudnienia zespołu developerskiego;</w:t>
            </w:r>
          </w:p>
          <w:p w14:paraId="246BEB7B" w14:textId="41D3D4CF" w:rsidR="00995737" w:rsidRPr="00254A11" w:rsidRDefault="00995737" w:rsidP="003470D0">
            <w:pPr>
              <w:pStyle w:val="Akapitzlist"/>
              <w:numPr>
                <w:ilvl w:val="0"/>
                <w:numId w:val="7"/>
              </w:numPr>
              <w:spacing w:before="120"/>
              <w:ind w:left="714" w:hanging="357"/>
              <w:contextualSpacing w:val="0"/>
              <w:jc w:val="both"/>
              <w:rPr>
                <w:bCs/>
                <w:sz w:val="18"/>
                <w:szCs w:val="20"/>
              </w:rPr>
            </w:pPr>
            <w:r w:rsidRPr="00254A11">
              <w:rPr>
                <w:bCs/>
                <w:sz w:val="18"/>
                <w:szCs w:val="20"/>
              </w:rPr>
              <w:t>Powolny proces zatwierdzania wniosków o płatność w ramach projektu, przez co postęp finansowy w ramach raportu opóźniony o prawie rok, kłopoty z cofaniem się do spraw z poprzedniego roku, częste zmiany opiekuna projektu. IP prawdopodobnie ma za małe zasoby osobowe do kontroli wniosków o płatność, mimo dobrego kontaktu telefonicznego i mailowego z opiekunami projektu, MC nie ma wpływu na przyspieszenie procesu odpowiedzi na zapytania i zatwierdzania wniosków przez CPPC –</w:t>
            </w:r>
            <w:r w:rsidR="00254A11" w:rsidRPr="00254A11">
              <w:rPr>
                <w:bCs/>
                <w:sz w:val="18"/>
                <w:szCs w:val="20"/>
              </w:rPr>
              <w:t xml:space="preserve"> negatywne. Rekomendacja – zmiana modelu akceptowania wniosków opłatność albo zwiększenie zasobów w IP;</w:t>
            </w:r>
          </w:p>
          <w:p w14:paraId="204CC565" w14:textId="5E3C93D9" w:rsidR="00995737" w:rsidRPr="00254A11" w:rsidRDefault="00995737" w:rsidP="003470D0">
            <w:pPr>
              <w:pStyle w:val="Akapitzlist"/>
              <w:numPr>
                <w:ilvl w:val="0"/>
                <w:numId w:val="7"/>
              </w:numPr>
              <w:spacing w:before="120"/>
              <w:ind w:left="714" w:hanging="357"/>
              <w:contextualSpacing w:val="0"/>
              <w:jc w:val="both"/>
              <w:rPr>
                <w:bCs/>
                <w:sz w:val="18"/>
                <w:szCs w:val="20"/>
              </w:rPr>
            </w:pPr>
            <w:r w:rsidRPr="00254A11">
              <w:rPr>
                <w:bCs/>
                <w:sz w:val="18"/>
                <w:szCs w:val="20"/>
              </w:rPr>
              <w:t>Duża ilość załączników do podpisania Umowy o dofinansowanie. Duża ilość załączników przy podpisywaniu Aneksów, powielanie tych samych załączników (m. in. pełnomocnictw), które były już podpisywane oraz wysyłane przy Umowie o dofinansowanie –</w:t>
            </w:r>
            <w:r w:rsidR="00254A11" w:rsidRPr="00254A11">
              <w:rPr>
                <w:bCs/>
                <w:sz w:val="18"/>
                <w:szCs w:val="20"/>
              </w:rPr>
              <w:t xml:space="preserve"> negatywne. Rekomendacja - Ograniczenie generowania i składowania dokumentów do niezbędnego minimum, bez powielania tych samych załączników do podpisu (pełnomocnictwa);</w:t>
            </w:r>
          </w:p>
          <w:p w14:paraId="6D852D9A" w14:textId="55FB3B8E" w:rsidR="00995737" w:rsidRPr="00254A11" w:rsidRDefault="00995737" w:rsidP="003470D0">
            <w:pPr>
              <w:pStyle w:val="Akapitzlist"/>
              <w:numPr>
                <w:ilvl w:val="0"/>
                <w:numId w:val="7"/>
              </w:numPr>
              <w:spacing w:before="120"/>
              <w:ind w:left="714" w:hanging="357"/>
              <w:contextualSpacing w:val="0"/>
              <w:jc w:val="both"/>
              <w:rPr>
                <w:bCs/>
                <w:sz w:val="18"/>
                <w:szCs w:val="20"/>
              </w:rPr>
            </w:pPr>
            <w:r w:rsidRPr="00254A11">
              <w:rPr>
                <w:bCs/>
                <w:sz w:val="18"/>
                <w:szCs w:val="20"/>
              </w:rPr>
              <w:t>Ograniczone możliwości systemu EZD (możliwość załączania plików pojedynczo) –</w:t>
            </w:r>
            <w:r w:rsidR="00254A11" w:rsidRPr="00254A11">
              <w:rPr>
                <w:bCs/>
                <w:sz w:val="18"/>
                <w:szCs w:val="20"/>
              </w:rPr>
              <w:t xml:space="preserve"> negatywne. Rekomendacja – usprawnienie systemu EZD (umożliwienie załączenia kilku bądź kilkunastu plików na raz;</w:t>
            </w:r>
          </w:p>
          <w:p w14:paraId="3944130F" w14:textId="22E998F7" w:rsidR="00995737" w:rsidRPr="00254A11" w:rsidRDefault="00995737" w:rsidP="003470D0">
            <w:pPr>
              <w:pStyle w:val="Akapitzlist"/>
              <w:numPr>
                <w:ilvl w:val="0"/>
                <w:numId w:val="7"/>
              </w:numPr>
              <w:spacing w:before="120"/>
              <w:ind w:left="714" w:hanging="357"/>
              <w:contextualSpacing w:val="0"/>
              <w:jc w:val="both"/>
              <w:rPr>
                <w:bCs/>
                <w:sz w:val="18"/>
                <w:szCs w:val="20"/>
              </w:rPr>
            </w:pPr>
            <w:r w:rsidRPr="00254A11">
              <w:rPr>
                <w:bCs/>
                <w:sz w:val="18"/>
                <w:szCs w:val="20"/>
              </w:rPr>
              <w:t xml:space="preserve">Ograniczona wielkość wysyłki plików przez </w:t>
            </w:r>
            <w:proofErr w:type="spellStart"/>
            <w:r w:rsidRPr="00254A11">
              <w:rPr>
                <w:bCs/>
                <w:sz w:val="18"/>
                <w:szCs w:val="20"/>
              </w:rPr>
              <w:t>ePUAP</w:t>
            </w:r>
            <w:proofErr w:type="spellEnd"/>
            <w:r w:rsidRPr="00254A11">
              <w:rPr>
                <w:bCs/>
                <w:sz w:val="18"/>
                <w:szCs w:val="20"/>
              </w:rPr>
              <w:t>. Konieczność wysyłania w kilku częściach –</w:t>
            </w:r>
            <w:r w:rsidR="00254A11" w:rsidRPr="00254A11">
              <w:rPr>
                <w:bCs/>
                <w:sz w:val="18"/>
                <w:szCs w:val="20"/>
              </w:rPr>
              <w:t xml:space="preserve"> negatywne. Rekomendacja – usprawnienie wysyłki dokumentacji przez </w:t>
            </w:r>
            <w:proofErr w:type="spellStart"/>
            <w:r w:rsidR="00254A11" w:rsidRPr="00254A11">
              <w:rPr>
                <w:bCs/>
                <w:sz w:val="18"/>
                <w:szCs w:val="20"/>
              </w:rPr>
              <w:t>ePUAP</w:t>
            </w:r>
            <w:proofErr w:type="spellEnd"/>
            <w:r w:rsidR="00254A11" w:rsidRPr="00254A11">
              <w:rPr>
                <w:bCs/>
                <w:sz w:val="18"/>
                <w:szCs w:val="20"/>
              </w:rPr>
              <w:t xml:space="preserve"> (zwiększenie wielkości plików);</w:t>
            </w:r>
          </w:p>
          <w:p w14:paraId="6EFC6D0A" w14:textId="7CB03C7D" w:rsidR="00995737" w:rsidRPr="00254A11" w:rsidRDefault="00995737" w:rsidP="003470D0">
            <w:pPr>
              <w:pStyle w:val="Akapitzlist"/>
              <w:numPr>
                <w:ilvl w:val="0"/>
                <w:numId w:val="7"/>
              </w:numPr>
              <w:spacing w:before="120"/>
              <w:ind w:left="714" w:hanging="357"/>
              <w:contextualSpacing w:val="0"/>
              <w:jc w:val="both"/>
              <w:rPr>
                <w:bCs/>
                <w:sz w:val="18"/>
                <w:szCs w:val="20"/>
              </w:rPr>
            </w:pPr>
            <w:r w:rsidRPr="00254A11">
              <w:rPr>
                <w:bCs/>
                <w:sz w:val="18"/>
                <w:szCs w:val="20"/>
              </w:rPr>
              <w:t>Przedłużające się nabory do zespołu, w tym obsadzanie kluczowych ról, powodujących brak realizacji budżetu zgodnie z harmonogramem –</w:t>
            </w:r>
            <w:r w:rsidR="00254A11" w:rsidRPr="00254A11">
              <w:rPr>
                <w:bCs/>
                <w:sz w:val="18"/>
                <w:szCs w:val="20"/>
              </w:rPr>
              <w:t xml:space="preserve"> negatywne. Rekomendacja - Uproszczenie procedur naboru, zwłaszcza przy współpracy z BL;</w:t>
            </w:r>
          </w:p>
          <w:p w14:paraId="51A6C23A" w14:textId="3B3D1624" w:rsidR="00995737" w:rsidRPr="00995737" w:rsidRDefault="00995737" w:rsidP="003470D0">
            <w:pPr>
              <w:pStyle w:val="Akapitzlist"/>
              <w:numPr>
                <w:ilvl w:val="0"/>
                <w:numId w:val="7"/>
              </w:numPr>
              <w:spacing w:before="120"/>
              <w:ind w:left="714" w:hanging="357"/>
              <w:contextualSpacing w:val="0"/>
              <w:jc w:val="both"/>
              <w:rPr>
                <w:bCs/>
                <w:i/>
                <w:sz w:val="18"/>
                <w:szCs w:val="20"/>
              </w:rPr>
            </w:pPr>
            <w:r w:rsidRPr="00254A11">
              <w:rPr>
                <w:bCs/>
                <w:sz w:val="18"/>
                <w:szCs w:val="20"/>
              </w:rPr>
              <w:t>Przedłużające się przekazanie produktu do właściciela biznesowego, ze względu na długotrwałe procedury w COI – negatywne.</w:t>
            </w:r>
            <w:r w:rsidR="00254A11" w:rsidRPr="00254A11">
              <w:rPr>
                <w:bCs/>
                <w:sz w:val="18"/>
                <w:szCs w:val="20"/>
              </w:rPr>
              <w:t xml:space="preserve"> Rekomendacja – usprawnienie współpracy z COI.</w:t>
            </w:r>
          </w:p>
        </w:tc>
      </w:tr>
    </w:tbl>
    <w:p w14:paraId="1E6770A2" w14:textId="08EE9895" w:rsidR="007A0A3D" w:rsidRDefault="007A0A3D" w:rsidP="007A0A3D"/>
    <w:sectPr w:rsidR="007A0A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inherit">
    <w:altName w:val="Times New Roman"/>
    <w:charset w:val="00"/>
    <w:family w:val="auto"/>
    <w:pitch w:val="default"/>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05095"/>
    <w:multiLevelType w:val="hybridMultilevel"/>
    <w:tmpl w:val="437678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9727D37"/>
    <w:multiLevelType w:val="hybridMultilevel"/>
    <w:tmpl w:val="3E98DA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754A9E"/>
    <w:multiLevelType w:val="hybridMultilevel"/>
    <w:tmpl w:val="DC4CD0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2F14D4C"/>
    <w:multiLevelType w:val="hybridMultilevel"/>
    <w:tmpl w:val="C3D8B268"/>
    <w:lvl w:ilvl="0" w:tplc="DD9EA92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58A7927"/>
    <w:multiLevelType w:val="hybridMultilevel"/>
    <w:tmpl w:val="74B0FA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400510D"/>
    <w:multiLevelType w:val="hybridMultilevel"/>
    <w:tmpl w:val="CD8628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6030AE3"/>
    <w:multiLevelType w:val="hybridMultilevel"/>
    <w:tmpl w:val="FB6862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05B5112"/>
    <w:multiLevelType w:val="hybridMultilevel"/>
    <w:tmpl w:val="25CAF8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B167E14"/>
    <w:multiLevelType w:val="hybridMultilevel"/>
    <w:tmpl w:val="4C166D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8D3787C"/>
    <w:multiLevelType w:val="hybridMultilevel"/>
    <w:tmpl w:val="194820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4FBB07AF"/>
    <w:multiLevelType w:val="hybridMultilevel"/>
    <w:tmpl w:val="E07470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550565D7"/>
    <w:multiLevelType w:val="hybridMultilevel"/>
    <w:tmpl w:val="5464E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55B306BF"/>
    <w:multiLevelType w:val="hybridMultilevel"/>
    <w:tmpl w:val="67C691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2FA3282"/>
    <w:multiLevelType w:val="hybridMultilevel"/>
    <w:tmpl w:val="B04840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7B8D2BBA"/>
    <w:multiLevelType w:val="hybridMultilevel"/>
    <w:tmpl w:val="67C691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BF532FB"/>
    <w:multiLevelType w:val="hybridMultilevel"/>
    <w:tmpl w:val="4CB88F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E224147"/>
    <w:multiLevelType w:val="hybridMultilevel"/>
    <w:tmpl w:val="DF647A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9"/>
  </w:num>
  <w:num w:numId="3">
    <w:abstractNumId w:val="0"/>
  </w:num>
  <w:num w:numId="4">
    <w:abstractNumId w:val="11"/>
  </w:num>
  <w:num w:numId="5">
    <w:abstractNumId w:val="10"/>
  </w:num>
  <w:num w:numId="6">
    <w:abstractNumId w:val="13"/>
  </w:num>
  <w:num w:numId="7">
    <w:abstractNumId w:val="1"/>
  </w:num>
  <w:num w:numId="8">
    <w:abstractNumId w:val="4"/>
  </w:num>
  <w:num w:numId="9">
    <w:abstractNumId w:val="15"/>
  </w:num>
  <w:num w:numId="10">
    <w:abstractNumId w:val="3"/>
  </w:num>
  <w:num w:numId="11">
    <w:abstractNumId w:val="14"/>
  </w:num>
  <w:num w:numId="12">
    <w:abstractNumId w:val="8"/>
  </w:num>
  <w:num w:numId="13">
    <w:abstractNumId w:val="6"/>
  </w:num>
  <w:num w:numId="14">
    <w:abstractNumId w:val="7"/>
  </w:num>
  <w:num w:numId="15">
    <w:abstractNumId w:val="5"/>
  </w:num>
  <w:num w:numId="16">
    <w:abstractNumId w:val="16"/>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A3D"/>
    <w:rsid w:val="00002024"/>
    <w:rsid w:val="000054A5"/>
    <w:rsid w:val="0001085B"/>
    <w:rsid w:val="0001707D"/>
    <w:rsid w:val="00034C8F"/>
    <w:rsid w:val="00057B26"/>
    <w:rsid w:val="00062C1C"/>
    <w:rsid w:val="00065BFF"/>
    <w:rsid w:val="00082F17"/>
    <w:rsid w:val="000A2E7D"/>
    <w:rsid w:val="000A6419"/>
    <w:rsid w:val="000B6CE0"/>
    <w:rsid w:val="000C2E5A"/>
    <w:rsid w:val="000D1DB0"/>
    <w:rsid w:val="000D3CA9"/>
    <w:rsid w:val="000D462D"/>
    <w:rsid w:val="000E0C6F"/>
    <w:rsid w:val="000E2B10"/>
    <w:rsid w:val="000F09D6"/>
    <w:rsid w:val="00106DA8"/>
    <w:rsid w:val="00115323"/>
    <w:rsid w:val="0014105A"/>
    <w:rsid w:val="001455E8"/>
    <w:rsid w:val="001463D1"/>
    <w:rsid w:val="001468A3"/>
    <w:rsid w:val="001600BB"/>
    <w:rsid w:val="00171A77"/>
    <w:rsid w:val="001806EC"/>
    <w:rsid w:val="00191768"/>
    <w:rsid w:val="001A4C0E"/>
    <w:rsid w:val="001B3339"/>
    <w:rsid w:val="001C3609"/>
    <w:rsid w:val="001C611C"/>
    <w:rsid w:val="001C6D7D"/>
    <w:rsid w:val="001D5100"/>
    <w:rsid w:val="001F0F03"/>
    <w:rsid w:val="001F542B"/>
    <w:rsid w:val="0021582D"/>
    <w:rsid w:val="00226056"/>
    <w:rsid w:val="00235287"/>
    <w:rsid w:val="00242785"/>
    <w:rsid w:val="002450C4"/>
    <w:rsid w:val="00254A11"/>
    <w:rsid w:val="002620B9"/>
    <w:rsid w:val="002672D8"/>
    <w:rsid w:val="00267E37"/>
    <w:rsid w:val="002722BE"/>
    <w:rsid w:val="002866BC"/>
    <w:rsid w:val="002A153C"/>
    <w:rsid w:val="002A7129"/>
    <w:rsid w:val="002A728C"/>
    <w:rsid w:val="002B1115"/>
    <w:rsid w:val="002C03A1"/>
    <w:rsid w:val="002C2550"/>
    <w:rsid w:val="002D0E27"/>
    <w:rsid w:val="002D4FCA"/>
    <w:rsid w:val="003436E4"/>
    <w:rsid w:val="003470D0"/>
    <w:rsid w:val="00350057"/>
    <w:rsid w:val="00363EA9"/>
    <w:rsid w:val="00364F95"/>
    <w:rsid w:val="00365AE7"/>
    <w:rsid w:val="00366DF6"/>
    <w:rsid w:val="00375597"/>
    <w:rsid w:val="003B107D"/>
    <w:rsid w:val="003B7BD6"/>
    <w:rsid w:val="003C0A36"/>
    <w:rsid w:val="003C1A25"/>
    <w:rsid w:val="003C7FEF"/>
    <w:rsid w:val="003D7919"/>
    <w:rsid w:val="004046DC"/>
    <w:rsid w:val="00423130"/>
    <w:rsid w:val="004371CA"/>
    <w:rsid w:val="00440316"/>
    <w:rsid w:val="0045765C"/>
    <w:rsid w:val="00461900"/>
    <w:rsid w:val="00492D46"/>
    <w:rsid w:val="004B19FE"/>
    <w:rsid w:val="004B45D1"/>
    <w:rsid w:val="004D135D"/>
    <w:rsid w:val="004D5D32"/>
    <w:rsid w:val="005060CE"/>
    <w:rsid w:val="0052037E"/>
    <w:rsid w:val="0052748E"/>
    <w:rsid w:val="0053110B"/>
    <w:rsid w:val="00532D2B"/>
    <w:rsid w:val="00552676"/>
    <w:rsid w:val="00565517"/>
    <w:rsid w:val="00571079"/>
    <w:rsid w:val="0058262E"/>
    <w:rsid w:val="005A287F"/>
    <w:rsid w:val="005A4344"/>
    <w:rsid w:val="005B3C03"/>
    <w:rsid w:val="005D4188"/>
    <w:rsid w:val="005E695A"/>
    <w:rsid w:val="005F128B"/>
    <w:rsid w:val="005F2493"/>
    <w:rsid w:val="00603CD5"/>
    <w:rsid w:val="00605C7F"/>
    <w:rsid w:val="00632AA0"/>
    <w:rsid w:val="00637C35"/>
    <w:rsid w:val="00640540"/>
    <w:rsid w:val="00643672"/>
    <w:rsid w:val="00653996"/>
    <w:rsid w:val="00661468"/>
    <w:rsid w:val="00662D2B"/>
    <w:rsid w:val="00665319"/>
    <w:rsid w:val="0068614E"/>
    <w:rsid w:val="00687AFE"/>
    <w:rsid w:val="0069595B"/>
    <w:rsid w:val="006B7454"/>
    <w:rsid w:val="006F1A10"/>
    <w:rsid w:val="00716201"/>
    <w:rsid w:val="00716F2E"/>
    <w:rsid w:val="007236D8"/>
    <w:rsid w:val="00736AF5"/>
    <w:rsid w:val="007408A3"/>
    <w:rsid w:val="00743031"/>
    <w:rsid w:val="007437D9"/>
    <w:rsid w:val="00746310"/>
    <w:rsid w:val="0075134D"/>
    <w:rsid w:val="007570AE"/>
    <w:rsid w:val="00761D38"/>
    <w:rsid w:val="00763934"/>
    <w:rsid w:val="00773523"/>
    <w:rsid w:val="007768AA"/>
    <w:rsid w:val="0078110A"/>
    <w:rsid w:val="00781B5D"/>
    <w:rsid w:val="007872FC"/>
    <w:rsid w:val="00790A77"/>
    <w:rsid w:val="007A0A3D"/>
    <w:rsid w:val="007B243C"/>
    <w:rsid w:val="007C4E8D"/>
    <w:rsid w:val="007C54F9"/>
    <w:rsid w:val="007E1B2A"/>
    <w:rsid w:val="007E2F1F"/>
    <w:rsid w:val="007E6098"/>
    <w:rsid w:val="007E6BEA"/>
    <w:rsid w:val="007F1120"/>
    <w:rsid w:val="007F63EF"/>
    <w:rsid w:val="00810FE1"/>
    <w:rsid w:val="00813FEF"/>
    <w:rsid w:val="00814C23"/>
    <w:rsid w:val="008213A6"/>
    <w:rsid w:val="00835B71"/>
    <w:rsid w:val="00836C1A"/>
    <w:rsid w:val="0085317E"/>
    <w:rsid w:val="008632E4"/>
    <w:rsid w:val="00890E88"/>
    <w:rsid w:val="008927DE"/>
    <w:rsid w:val="008D5916"/>
    <w:rsid w:val="008E0416"/>
    <w:rsid w:val="008F494F"/>
    <w:rsid w:val="00901EC6"/>
    <w:rsid w:val="00905779"/>
    <w:rsid w:val="0092099A"/>
    <w:rsid w:val="00920CE8"/>
    <w:rsid w:val="0092569F"/>
    <w:rsid w:val="00934931"/>
    <w:rsid w:val="00935B1A"/>
    <w:rsid w:val="00941951"/>
    <w:rsid w:val="00982DC4"/>
    <w:rsid w:val="00995737"/>
    <w:rsid w:val="009A228A"/>
    <w:rsid w:val="009A3C5E"/>
    <w:rsid w:val="009A4CD3"/>
    <w:rsid w:val="009B2FC6"/>
    <w:rsid w:val="009D3D41"/>
    <w:rsid w:val="009E1398"/>
    <w:rsid w:val="009E1864"/>
    <w:rsid w:val="009F7DAF"/>
    <w:rsid w:val="00A07629"/>
    <w:rsid w:val="00A12836"/>
    <w:rsid w:val="00A1534B"/>
    <w:rsid w:val="00A16DE3"/>
    <w:rsid w:val="00A3336B"/>
    <w:rsid w:val="00A41F78"/>
    <w:rsid w:val="00A522AB"/>
    <w:rsid w:val="00A5254A"/>
    <w:rsid w:val="00A60385"/>
    <w:rsid w:val="00A6601B"/>
    <w:rsid w:val="00A66B14"/>
    <w:rsid w:val="00A710B2"/>
    <w:rsid w:val="00A873B7"/>
    <w:rsid w:val="00AA1C73"/>
    <w:rsid w:val="00AB1E9B"/>
    <w:rsid w:val="00AB6515"/>
    <w:rsid w:val="00AC1286"/>
    <w:rsid w:val="00AD10EF"/>
    <w:rsid w:val="00B2049A"/>
    <w:rsid w:val="00B33C04"/>
    <w:rsid w:val="00B44360"/>
    <w:rsid w:val="00B5050F"/>
    <w:rsid w:val="00B56CB9"/>
    <w:rsid w:val="00B56EE1"/>
    <w:rsid w:val="00B57299"/>
    <w:rsid w:val="00B752EC"/>
    <w:rsid w:val="00B875E7"/>
    <w:rsid w:val="00B9021E"/>
    <w:rsid w:val="00B93735"/>
    <w:rsid w:val="00BA2E3A"/>
    <w:rsid w:val="00BB7875"/>
    <w:rsid w:val="00BC120E"/>
    <w:rsid w:val="00BF4BC9"/>
    <w:rsid w:val="00C04485"/>
    <w:rsid w:val="00C132B5"/>
    <w:rsid w:val="00C36C02"/>
    <w:rsid w:val="00C37A3A"/>
    <w:rsid w:val="00C42446"/>
    <w:rsid w:val="00C475C8"/>
    <w:rsid w:val="00C50CFC"/>
    <w:rsid w:val="00C546B0"/>
    <w:rsid w:val="00C56B53"/>
    <w:rsid w:val="00C60594"/>
    <w:rsid w:val="00C64A76"/>
    <w:rsid w:val="00C6774E"/>
    <w:rsid w:val="00C67B9B"/>
    <w:rsid w:val="00C775DA"/>
    <w:rsid w:val="00C84CF4"/>
    <w:rsid w:val="00C90C23"/>
    <w:rsid w:val="00C948E6"/>
    <w:rsid w:val="00CA5016"/>
    <w:rsid w:val="00CA79E4"/>
    <w:rsid w:val="00CC1D71"/>
    <w:rsid w:val="00CC6CD1"/>
    <w:rsid w:val="00CF1C4E"/>
    <w:rsid w:val="00CF4111"/>
    <w:rsid w:val="00D22A05"/>
    <w:rsid w:val="00D2582C"/>
    <w:rsid w:val="00D328A9"/>
    <w:rsid w:val="00D36C30"/>
    <w:rsid w:val="00D3762C"/>
    <w:rsid w:val="00D6293A"/>
    <w:rsid w:val="00D65F79"/>
    <w:rsid w:val="00D815A6"/>
    <w:rsid w:val="00DA673D"/>
    <w:rsid w:val="00DB70A5"/>
    <w:rsid w:val="00DD49D1"/>
    <w:rsid w:val="00DD4FC6"/>
    <w:rsid w:val="00DE07D6"/>
    <w:rsid w:val="00E22F4A"/>
    <w:rsid w:val="00E25D1C"/>
    <w:rsid w:val="00E30008"/>
    <w:rsid w:val="00E33034"/>
    <w:rsid w:val="00E50774"/>
    <w:rsid w:val="00E50FCB"/>
    <w:rsid w:val="00E52249"/>
    <w:rsid w:val="00E53B1F"/>
    <w:rsid w:val="00E548B8"/>
    <w:rsid w:val="00E72336"/>
    <w:rsid w:val="00EB2D67"/>
    <w:rsid w:val="00EF094D"/>
    <w:rsid w:val="00F05E0A"/>
    <w:rsid w:val="00F32CAA"/>
    <w:rsid w:val="00F46708"/>
    <w:rsid w:val="00F57C29"/>
    <w:rsid w:val="00F60BD0"/>
    <w:rsid w:val="00F64265"/>
    <w:rsid w:val="00F66B0E"/>
    <w:rsid w:val="00F741B3"/>
    <w:rsid w:val="00F77547"/>
    <w:rsid w:val="00F80E7E"/>
    <w:rsid w:val="00F82254"/>
    <w:rsid w:val="00F85CE2"/>
    <w:rsid w:val="00F93811"/>
    <w:rsid w:val="00FA2C7F"/>
    <w:rsid w:val="00FB4D9B"/>
    <w:rsid w:val="00FB59B2"/>
    <w:rsid w:val="00FD074F"/>
    <w:rsid w:val="00FD463F"/>
    <w:rsid w:val="00FF20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EA497"/>
  <w15:chartTrackingRefBased/>
  <w15:docId w15:val="{CC2F2118-C34C-4194-BDA5-87D277577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A0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13FEF"/>
    <w:rPr>
      <w:sz w:val="16"/>
      <w:szCs w:val="16"/>
    </w:rPr>
  </w:style>
  <w:style w:type="paragraph" w:styleId="Tekstkomentarza">
    <w:name w:val="annotation text"/>
    <w:basedOn w:val="Normalny"/>
    <w:link w:val="TekstkomentarzaZnak"/>
    <w:uiPriority w:val="99"/>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rsid w:val="00813FEF"/>
    <w:rPr>
      <w:sz w:val="20"/>
      <w:szCs w:val="20"/>
    </w:rPr>
  </w:style>
  <w:style w:type="paragraph" w:styleId="Tematkomentarza">
    <w:name w:val="annotation subject"/>
    <w:basedOn w:val="Tekstkomentarza"/>
    <w:next w:val="Tekstkomentarza"/>
    <w:link w:val="TematkomentarzaZnak"/>
    <w:uiPriority w:val="99"/>
    <w:semiHidden/>
    <w:unhideWhenUsed/>
    <w:rsid w:val="00A66B14"/>
    <w:rPr>
      <w:b/>
      <w:bCs/>
    </w:rPr>
  </w:style>
  <w:style w:type="character" w:customStyle="1" w:styleId="TematkomentarzaZnak">
    <w:name w:val="Temat komentarza Znak"/>
    <w:basedOn w:val="TekstkomentarzaZnak"/>
    <w:link w:val="Tematkomentarza"/>
    <w:uiPriority w:val="99"/>
    <w:semiHidden/>
    <w:rsid w:val="00A66B14"/>
    <w:rPr>
      <w:b/>
      <w:bCs/>
      <w:sz w:val="20"/>
      <w:szCs w:val="20"/>
    </w:rPr>
  </w:style>
  <w:style w:type="paragraph" w:styleId="Tekstprzypisudolnego">
    <w:name w:val="footnote text"/>
    <w:basedOn w:val="Normalny"/>
    <w:link w:val="TekstprzypisudolnegoZnak"/>
    <w:uiPriority w:val="99"/>
    <w:semiHidden/>
    <w:unhideWhenUsed/>
    <w:rsid w:val="00DD49D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D49D1"/>
    <w:rPr>
      <w:sz w:val="20"/>
      <w:szCs w:val="20"/>
    </w:rPr>
  </w:style>
  <w:style w:type="paragraph" w:styleId="Poprawka">
    <w:name w:val="Revision"/>
    <w:hidden/>
    <w:uiPriority w:val="99"/>
    <w:semiHidden/>
    <w:rsid w:val="00AB1E9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587758">
      <w:bodyDiv w:val="1"/>
      <w:marLeft w:val="0"/>
      <w:marRight w:val="0"/>
      <w:marTop w:val="0"/>
      <w:marBottom w:val="0"/>
      <w:divBdr>
        <w:top w:val="none" w:sz="0" w:space="0" w:color="auto"/>
        <w:left w:val="none" w:sz="0" w:space="0" w:color="auto"/>
        <w:bottom w:val="none" w:sz="0" w:space="0" w:color="auto"/>
        <w:right w:val="none" w:sz="0" w:space="0" w:color="auto"/>
      </w:divBdr>
    </w:div>
    <w:div w:id="125662519">
      <w:bodyDiv w:val="1"/>
      <w:marLeft w:val="0"/>
      <w:marRight w:val="0"/>
      <w:marTop w:val="0"/>
      <w:marBottom w:val="0"/>
      <w:divBdr>
        <w:top w:val="none" w:sz="0" w:space="0" w:color="auto"/>
        <w:left w:val="none" w:sz="0" w:space="0" w:color="auto"/>
        <w:bottom w:val="none" w:sz="0" w:space="0" w:color="auto"/>
        <w:right w:val="none" w:sz="0" w:space="0" w:color="auto"/>
      </w:divBdr>
    </w:div>
    <w:div w:id="141777778">
      <w:bodyDiv w:val="1"/>
      <w:marLeft w:val="0"/>
      <w:marRight w:val="0"/>
      <w:marTop w:val="0"/>
      <w:marBottom w:val="0"/>
      <w:divBdr>
        <w:top w:val="none" w:sz="0" w:space="0" w:color="auto"/>
        <w:left w:val="none" w:sz="0" w:space="0" w:color="auto"/>
        <w:bottom w:val="none" w:sz="0" w:space="0" w:color="auto"/>
        <w:right w:val="none" w:sz="0" w:space="0" w:color="auto"/>
      </w:divBdr>
    </w:div>
    <w:div w:id="148328101">
      <w:bodyDiv w:val="1"/>
      <w:marLeft w:val="0"/>
      <w:marRight w:val="0"/>
      <w:marTop w:val="0"/>
      <w:marBottom w:val="0"/>
      <w:divBdr>
        <w:top w:val="none" w:sz="0" w:space="0" w:color="auto"/>
        <w:left w:val="none" w:sz="0" w:space="0" w:color="auto"/>
        <w:bottom w:val="none" w:sz="0" w:space="0" w:color="auto"/>
        <w:right w:val="none" w:sz="0" w:space="0" w:color="auto"/>
      </w:divBdr>
    </w:div>
    <w:div w:id="239946679">
      <w:bodyDiv w:val="1"/>
      <w:marLeft w:val="0"/>
      <w:marRight w:val="0"/>
      <w:marTop w:val="0"/>
      <w:marBottom w:val="0"/>
      <w:divBdr>
        <w:top w:val="none" w:sz="0" w:space="0" w:color="auto"/>
        <w:left w:val="none" w:sz="0" w:space="0" w:color="auto"/>
        <w:bottom w:val="none" w:sz="0" w:space="0" w:color="auto"/>
        <w:right w:val="none" w:sz="0" w:space="0" w:color="auto"/>
      </w:divBdr>
    </w:div>
    <w:div w:id="414982192">
      <w:bodyDiv w:val="1"/>
      <w:marLeft w:val="0"/>
      <w:marRight w:val="0"/>
      <w:marTop w:val="0"/>
      <w:marBottom w:val="0"/>
      <w:divBdr>
        <w:top w:val="none" w:sz="0" w:space="0" w:color="auto"/>
        <w:left w:val="none" w:sz="0" w:space="0" w:color="auto"/>
        <w:bottom w:val="none" w:sz="0" w:space="0" w:color="auto"/>
        <w:right w:val="none" w:sz="0" w:space="0" w:color="auto"/>
      </w:divBdr>
    </w:div>
    <w:div w:id="526797251">
      <w:bodyDiv w:val="1"/>
      <w:marLeft w:val="0"/>
      <w:marRight w:val="0"/>
      <w:marTop w:val="0"/>
      <w:marBottom w:val="0"/>
      <w:divBdr>
        <w:top w:val="none" w:sz="0" w:space="0" w:color="auto"/>
        <w:left w:val="none" w:sz="0" w:space="0" w:color="auto"/>
        <w:bottom w:val="none" w:sz="0" w:space="0" w:color="auto"/>
        <w:right w:val="none" w:sz="0" w:space="0" w:color="auto"/>
      </w:divBdr>
    </w:div>
    <w:div w:id="574826996">
      <w:bodyDiv w:val="1"/>
      <w:marLeft w:val="0"/>
      <w:marRight w:val="0"/>
      <w:marTop w:val="0"/>
      <w:marBottom w:val="0"/>
      <w:divBdr>
        <w:top w:val="none" w:sz="0" w:space="0" w:color="auto"/>
        <w:left w:val="none" w:sz="0" w:space="0" w:color="auto"/>
        <w:bottom w:val="none" w:sz="0" w:space="0" w:color="auto"/>
        <w:right w:val="none" w:sz="0" w:space="0" w:color="auto"/>
      </w:divBdr>
    </w:div>
    <w:div w:id="620259184">
      <w:bodyDiv w:val="1"/>
      <w:marLeft w:val="0"/>
      <w:marRight w:val="0"/>
      <w:marTop w:val="0"/>
      <w:marBottom w:val="0"/>
      <w:divBdr>
        <w:top w:val="none" w:sz="0" w:space="0" w:color="auto"/>
        <w:left w:val="none" w:sz="0" w:space="0" w:color="auto"/>
        <w:bottom w:val="none" w:sz="0" w:space="0" w:color="auto"/>
        <w:right w:val="none" w:sz="0" w:space="0" w:color="auto"/>
      </w:divBdr>
    </w:div>
    <w:div w:id="677118714">
      <w:bodyDiv w:val="1"/>
      <w:marLeft w:val="0"/>
      <w:marRight w:val="0"/>
      <w:marTop w:val="0"/>
      <w:marBottom w:val="0"/>
      <w:divBdr>
        <w:top w:val="none" w:sz="0" w:space="0" w:color="auto"/>
        <w:left w:val="none" w:sz="0" w:space="0" w:color="auto"/>
        <w:bottom w:val="none" w:sz="0" w:space="0" w:color="auto"/>
        <w:right w:val="none" w:sz="0" w:space="0" w:color="auto"/>
      </w:divBdr>
    </w:div>
    <w:div w:id="683439869">
      <w:bodyDiv w:val="1"/>
      <w:marLeft w:val="0"/>
      <w:marRight w:val="0"/>
      <w:marTop w:val="0"/>
      <w:marBottom w:val="0"/>
      <w:divBdr>
        <w:top w:val="none" w:sz="0" w:space="0" w:color="auto"/>
        <w:left w:val="none" w:sz="0" w:space="0" w:color="auto"/>
        <w:bottom w:val="none" w:sz="0" w:space="0" w:color="auto"/>
        <w:right w:val="none" w:sz="0" w:space="0" w:color="auto"/>
      </w:divBdr>
    </w:div>
    <w:div w:id="696662933">
      <w:bodyDiv w:val="1"/>
      <w:marLeft w:val="0"/>
      <w:marRight w:val="0"/>
      <w:marTop w:val="0"/>
      <w:marBottom w:val="0"/>
      <w:divBdr>
        <w:top w:val="none" w:sz="0" w:space="0" w:color="auto"/>
        <w:left w:val="none" w:sz="0" w:space="0" w:color="auto"/>
        <w:bottom w:val="none" w:sz="0" w:space="0" w:color="auto"/>
        <w:right w:val="none" w:sz="0" w:space="0" w:color="auto"/>
      </w:divBdr>
    </w:div>
    <w:div w:id="742407057">
      <w:bodyDiv w:val="1"/>
      <w:marLeft w:val="0"/>
      <w:marRight w:val="0"/>
      <w:marTop w:val="0"/>
      <w:marBottom w:val="0"/>
      <w:divBdr>
        <w:top w:val="none" w:sz="0" w:space="0" w:color="auto"/>
        <w:left w:val="none" w:sz="0" w:space="0" w:color="auto"/>
        <w:bottom w:val="none" w:sz="0" w:space="0" w:color="auto"/>
        <w:right w:val="none" w:sz="0" w:space="0" w:color="auto"/>
      </w:divBdr>
    </w:div>
    <w:div w:id="850219702">
      <w:bodyDiv w:val="1"/>
      <w:marLeft w:val="0"/>
      <w:marRight w:val="0"/>
      <w:marTop w:val="0"/>
      <w:marBottom w:val="0"/>
      <w:divBdr>
        <w:top w:val="none" w:sz="0" w:space="0" w:color="auto"/>
        <w:left w:val="none" w:sz="0" w:space="0" w:color="auto"/>
        <w:bottom w:val="none" w:sz="0" w:space="0" w:color="auto"/>
        <w:right w:val="none" w:sz="0" w:space="0" w:color="auto"/>
      </w:divBdr>
    </w:div>
    <w:div w:id="856385214">
      <w:bodyDiv w:val="1"/>
      <w:marLeft w:val="0"/>
      <w:marRight w:val="0"/>
      <w:marTop w:val="0"/>
      <w:marBottom w:val="0"/>
      <w:divBdr>
        <w:top w:val="none" w:sz="0" w:space="0" w:color="auto"/>
        <w:left w:val="none" w:sz="0" w:space="0" w:color="auto"/>
        <w:bottom w:val="none" w:sz="0" w:space="0" w:color="auto"/>
        <w:right w:val="none" w:sz="0" w:space="0" w:color="auto"/>
      </w:divBdr>
    </w:div>
    <w:div w:id="898520650">
      <w:bodyDiv w:val="1"/>
      <w:marLeft w:val="0"/>
      <w:marRight w:val="0"/>
      <w:marTop w:val="0"/>
      <w:marBottom w:val="0"/>
      <w:divBdr>
        <w:top w:val="none" w:sz="0" w:space="0" w:color="auto"/>
        <w:left w:val="none" w:sz="0" w:space="0" w:color="auto"/>
        <w:bottom w:val="none" w:sz="0" w:space="0" w:color="auto"/>
        <w:right w:val="none" w:sz="0" w:space="0" w:color="auto"/>
      </w:divBdr>
    </w:div>
    <w:div w:id="1004015174">
      <w:bodyDiv w:val="1"/>
      <w:marLeft w:val="0"/>
      <w:marRight w:val="0"/>
      <w:marTop w:val="0"/>
      <w:marBottom w:val="0"/>
      <w:divBdr>
        <w:top w:val="none" w:sz="0" w:space="0" w:color="auto"/>
        <w:left w:val="none" w:sz="0" w:space="0" w:color="auto"/>
        <w:bottom w:val="none" w:sz="0" w:space="0" w:color="auto"/>
        <w:right w:val="none" w:sz="0" w:space="0" w:color="auto"/>
      </w:divBdr>
    </w:div>
    <w:div w:id="1012417556">
      <w:bodyDiv w:val="1"/>
      <w:marLeft w:val="0"/>
      <w:marRight w:val="0"/>
      <w:marTop w:val="0"/>
      <w:marBottom w:val="0"/>
      <w:divBdr>
        <w:top w:val="none" w:sz="0" w:space="0" w:color="auto"/>
        <w:left w:val="none" w:sz="0" w:space="0" w:color="auto"/>
        <w:bottom w:val="none" w:sz="0" w:space="0" w:color="auto"/>
        <w:right w:val="none" w:sz="0" w:space="0" w:color="auto"/>
      </w:divBdr>
    </w:div>
    <w:div w:id="1049066699">
      <w:bodyDiv w:val="1"/>
      <w:marLeft w:val="0"/>
      <w:marRight w:val="0"/>
      <w:marTop w:val="0"/>
      <w:marBottom w:val="0"/>
      <w:divBdr>
        <w:top w:val="none" w:sz="0" w:space="0" w:color="auto"/>
        <w:left w:val="none" w:sz="0" w:space="0" w:color="auto"/>
        <w:bottom w:val="none" w:sz="0" w:space="0" w:color="auto"/>
        <w:right w:val="none" w:sz="0" w:space="0" w:color="auto"/>
      </w:divBdr>
    </w:div>
    <w:div w:id="1183402603">
      <w:bodyDiv w:val="1"/>
      <w:marLeft w:val="0"/>
      <w:marRight w:val="0"/>
      <w:marTop w:val="0"/>
      <w:marBottom w:val="0"/>
      <w:divBdr>
        <w:top w:val="none" w:sz="0" w:space="0" w:color="auto"/>
        <w:left w:val="none" w:sz="0" w:space="0" w:color="auto"/>
        <w:bottom w:val="none" w:sz="0" w:space="0" w:color="auto"/>
        <w:right w:val="none" w:sz="0" w:space="0" w:color="auto"/>
      </w:divBdr>
    </w:div>
    <w:div w:id="1201936704">
      <w:bodyDiv w:val="1"/>
      <w:marLeft w:val="0"/>
      <w:marRight w:val="0"/>
      <w:marTop w:val="0"/>
      <w:marBottom w:val="0"/>
      <w:divBdr>
        <w:top w:val="none" w:sz="0" w:space="0" w:color="auto"/>
        <w:left w:val="none" w:sz="0" w:space="0" w:color="auto"/>
        <w:bottom w:val="none" w:sz="0" w:space="0" w:color="auto"/>
        <w:right w:val="none" w:sz="0" w:space="0" w:color="auto"/>
      </w:divBdr>
    </w:div>
    <w:div w:id="1258632656">
      <w:bodyDiv w:val="1"/>
      <w:marLeft w:val="0"/>
      <w:marRight w:val="0"/>
      <w:marTop w:val="0"/>
      <w:marBottom w:val="0"/>
      <w:divBdr>
        <w:top w:val="none" w:sz="0" w:space="0" w:color="auto"/>
        <w:left w:val="none" w:sz="0" w:space="0" w:color="auto"/>
        <w:bottom w:val="none" w:sz="0" w:space="0" w:color="auto"/>
        <w:right w:val="none" w:sz="0" w:space="0" w:color="auto"/>
      </w:divBdr>
    </w:div>
    <w:div w:id="1285770190">
      <w:bodyDiv w:val="1"/>
      <w:marLeft w:val="0"/>
      <w:marRight w:val="0"/>
      <w:marTop w:val="0"/>
      <w:marBottom w:val="0"/>
      <w:divBdr>
        <w:top w:val="none" w:sz="0" w:space="0" w:color="auto"/>
        <w:left w:val="none" w:sz="0" w:space="0" w:color="auto"/>
        <w:bottom w:val="none" w:sz="0" w:space="0" w:color="auto"/>
        <w:right w:val="none" w:sz="0" w:space="0" w:color="auto"/>
      </w:divBdr>
    </w:div>
    <w:div w:id="1309700209">
      <w:bodyDiv w:val="1"/>
      <w:marLeft w:val="0"/>
      <w:marRight w:val="0"/>
      <w:marTop w:val="0"/>
      <w:marBottom w:val="0"/>
      <w:divBdr>
        <w:top w:val="none" w:sz="0" w:space="0" w:color="auto"/>
        <w:left w:val="none" w:sz="0" w:space="0" w:color="auto"/>
        <w:bottom w:val="none" w:sz="0" w:space="0" w:color="auto"/>
        <w:right w:val="none" w:sz="0" w:space="0" w:color="auto"/>
      </w:divBdr>
    </w:div>
    <w:div w:id="1334842828">
      <w:bodyDiv w:val="1"/>
      <w:marLeft w:val="0"/>
      <w:marRight w:val="0"/>
      <w:marTop w:val="0"/>
      <w:marBottom w:val="0"/>
      <w:divBdr>
        <w:top w:val="none" w:sz="0" w:space="0" w:color="auto"/>
        <w:left w:val="none" w:sz="0" w:space="0" w:color="auto"/>
        <w:bottom w:val="none" w:sz="0" w:space="0" w:color="auto"/>
        <w:right w:val="none" w:sz="0" w:space="0" w:color="auto"/>
      </w:divBdr>
    </w:div>
    <w:div w:id="1384254186">
      <w:bodyDiv w:val="1"/>
      <w:marLeft w:val="0"/>
      <w:marRight w:val="0"/>
      <w:marTop w:val="0"/>
      <w:marBottom w:val="0"/>
      <w:divBdr>
        <w:top w:val="none" w:sz="0" w:space="0" w:color="auto"/>
        <w:left w:val="none" w:sz="0" w:space="0" w:color="auto"/>
        <w:bottom w:val="none" w:sz="0" w:space="0" w:color="auto"/>
        <w:right w:val="none" w:sz="0" w:space="0" w:color="auto"/>
      </w:divBdr>
    </w:div>
    <w:div w:id="1516380592">
      <w:bodyDiv w:val="1"/>
      <w:marLeft w:val="0"/>
      <w:marRight w:val="0"/>
      <w:marTop w:val="0"/>
      <w:marBottom w:val="0"/>
      <w:divBdr>
        <w:top w:val="none" w:sz="0" w:space="0" w:color="auto"/>
        <w:left w:val="none" w:sz="0" w:space="0" w:color="auto"/>
        <w:bottom w:val="none" w:sz="0" w:space="0" w:color="auto"/>
        <w:right w:val="none" w:sz="0" w:space="0" w:color="auto"/>
      </w:divBdr>
    </w:div>
    <w:div w:id="1567178894">
      <w:bodyDiv w:val="1"/>
      <w:marLeft w:val="0"/>
      <w:marRight w:val="0"/>
      <w:marTop w:val="0"/>
      <w:marBottom w:val="0"/>
      <w:divBdr>
        <w:top w:val="none" w:sz="0" w:space="0" w:color="auto"/>
        <w:left w:val="none" w:sz="0" w:space="0" w:color="auto"/>
        <w:bottom w:val="none" w:sz="0" w:space="0" w:color="auto"/>
        <w:right w:val="none" w:sz="0" w:space="0" w:color="auto"/>
      </w:divBdr>
    </w:div>
    <w:div w:id="1594581980">
      <w:bodyDiv w:val="1"/>
      <w:marLeft w:val="0"/>
      <w:marRight w:val="0"/>
      <w:marTop w:val="0"/>
      <w:marBottom w:val="0"/>
      <w:divBdr>
        <w:top w:val="none" w:sz="0" w:space="0" w:color="auto"/>
        <w:left w:val="none" w:sz="0" w:space="0" w:color="auto"/>
        <w:bottom w:val="none" w:sz="0" w:space="0" w:color="auto"/>
        <w:right w:val="none" w:sz="0" w:space="0" w:color="auto"/>
      </w:divBdr>
    </w:div>
    <w:div w:id="1652099713">
      <w:bodyDiv w:val="1"/>
      <w:marLeft w:val="0"/>
      <w:marRight w:val="0"/>
      <w:marTop w:val="0"/>
      <w:marBottom w:val="0"/>
      <w:divBdr>
        <w:top w:val="none" w:sz="0" w:space="0" w:color="auto"/>
        <w:left w:val="none" w:sz="0" w:space="0" w:color="auto"/>
        <w:bottom w:val="none" w:sz="0" w:space="0" w:color="auto"/>
        <w:right w:val="none" w:sz="0" w:space="0" w:color="auto"/>
      </w:divBdr>
    </w:div>
    <w:div w:id="1654142881">
      <w:bodyDiv w:val="1"/>
      <w:marLeft w:val="0"/>
      <w:marRight w:val="0"/>
      <w:marTop w:val="0"/>
      <w:marBottom w:val="0"/>
      <w:divBdr>
        <w:top w:val="none" w:sz="0" w:space="0" w:color="auto"/>
        <w:left w:val="none" w:sz="0" w:space="0" w:color="auto"/>
        <w:bottom w:val="none" w:sz="0" w:space="0" w:color="auto"/>
        <w:right w:val="none" w:sz="0" w:space="0" w:color="auto"/>
      </w:divBdr>
    </w:div>
    <w:div w:id="1656684908">
      <w:bodyDiv w:val="1"/>
      <w:marLeft w:val="0"/>
      <w:marRight w:val="0"/>
      <w:marTop w:val="0"/>
      <w:marBottom w:val="0"/>
      <w:divBdr>
        <w:top w:val="none" w:sz="0" w:space="0" w:color="auto"/>
        <w:left w:val="none" w:sz="0" w:space="0" w:color="auto"/>
        <w:bottom w:val="none" w:sz="0" w:space="0" w:color="auto"/>
        <w:right w:val="none" w:sz="0" w:space="0" w:color="auto"/>
      </w:divBdr>
    </w:div>
    <w:div w:id="1740470770">
      <w:bodyDiv w:val="1"/>
      <w:marLeft w:val="0"/>
      <w:marRight w:val="0"/>
      <w:marTop w:val="0"/>
      <w:marBottom w:val="0"/>
      <w:divBdr>
        <w:top w:val="none" w:sz="0" w:space="0" w:color="auto"/>
        <w:left w:val="none" w:sz="0" w:space="0" w:color="auto"/>
        <w:bottom w:val="none" w:sz="0" w:space="0" w:color="auto"/>
        <w:right w:val="none" w:sz="0" w:space="0" w:color="auto"/>
      </w:divBdr>
    </w:div>
    <w:div w:id="1815561753">
      <w:bodyDiv w:val="1"/>
      <w:marLeft w:val="0"/>
      <w:marRight w:val="0"/>
      <w:marTop w:val="0"/>
      <w:marBottom w:val="0"/>
      <w:divBdr>
        <w:top w:val="none" w:sz="0" w:space="0" w:color="auto"/>
        <w:left w:val="none" w:sz="0" w:space="0" w:color="auto"/>
        <w:bottom w:val="none" w:sz="0" w:space="0" w:color="auto"/>
        <w:right w:val="none" w:sz="0" w:space="0" w:color="auto"/>
      </w:divBdr>
    </w:div>
    <w:div w:id="1822691401">
      <w:bodyDiv w:val="1"/>
      <w:marLeft w:val="0"/>
      <w:marRight w:val="0"/>
      <w:marTop w:val="0"/>
      <w:marBottom w:val="0"/>
      <w:divBdr>
        <w:top w:val="none" w:sz="0" w:space="0" w:color="auto"/>
        <w:left w:val="none" w:sz="0" w:space="0" w:color="auto"/>
        <w:bottom w:val="none" w:sz="0" w:space="0" w:color="auto"/>
        <w:right w:val="none" w:sz="0" w:space="0" w:color="auto"/>
      </w:divBdr>
    </w:div>
    <w:div w:id="1880511717">
      <w:bodyDiv w:val="1"/>
      <w:marLeft w:val="0"/>
      <w:marRight w:val="0"/>
      <w:marTop w:val="0"/>
      <w:marBottom w:val="0"/>
      <w:divBdr>
        <w:top w:val="none" w:sz="0" w:space="0" w:color="auto"/>
        <w:left w:val="none" w:sz="0" w:space="0" w:color="auto"/>
        <w:bottom w:val="none" w:sz="0" w:space="0" w:color="auto"/>
        <w:right w:val="none" w:sz="0" w:space="0" w:color="auto"/>
      </w:divBdr>
    </w:div>
    <w:div w:id="1882668819">
      <w:bodyDiv w:val="1"/>
      <w:marLeft w:val="0"/>
      <w:marRight w:val="0"/>
      <w:marTop w:val="0"/>
      <w:marBottom w:val="0"/>
      <w:divBdr>
        <w:top w:val="none" w:sz="0" w:space="0" w:color="auto"/>
        <w:left w:val="none" w:sz="0" w:space="0" w:color="auto"/>
        <w:bottom w:val="none" w:sz="0" w:space="0" w:color="auto"/>
        <w:right w:val="none" w:sz="0" w:space="0" w:color="auto"/>
      </w:divBdr>
    </w:div>
    <w:div w:id="1928147958">
      <w:bodyDiv w:val="1"/>
      <w:marLeft w:val="0"/>
      <w:marRight w:val="0"/>
      <w:marTop w:val="0"/>
      <w:marBottom w:val="0"/>
      <w:divBdr>
        <w:top w:val="none" w:sz="0" w:space="0" w:color="auto"/>
        <w:left w:val="none" w:sz="0" w:space="0" w:color="auto"/>
        <w:bottom w:val="none" w:sz="0" w:space="0" w:color="auto"/>
        <w:right w:val="none" w:sz="0" w:space="0" w:color="auto"/>
      </w:divBdr>
    </w:div>
    <w:div w:id="1991055691">
      <w:bodyDiv w:val="1"/>
      <w:marLeft w:val="0"/>
      <w:marRight w:val="0"/>
      <w:marTop w:val="0"/>
      <w:marBottom w:val="0"/>
      <w:divBdr>
        <w:top w:val="none" w:sz="0" w:space="0" w:color="auto"/>
        <w:left w:val="none" w:sz="0" w:space="0" w:color="auto"/>
        <w:bottom w:val="none" w:sz="0" w:space="0" w:color="auto"/>
        <w:right w:val="none" w:sz="0" w:space="0" w:color="auto"/>
      </w:divBdr>
    </w:div>
    <w:div w:id="2114593367">
      <w:bodyDiv w:val="1"/>
      <w:marLeft w:val="0"/>
      <w:marRight w:val="0"/>
      <w:marTop w:val="0"/>
      <w:marBottom w:val="0"/>
      <w:divBdr>
        <w:top w:val="none" w:sz="0" w:space="0" w:color="auto"/>
        <w:left w:val="none" w:sz="0" w:space="0" w:color="auto"/>
        <w:bottom w:val="none" w:sz="0" w:space="0" w:color="auto"/>
        <w:right w:val="none" w:sz="0" w:space="0" w:color="auto"/>
      </w:divBdr>
    </w:div>
    <w:div w:id="2117360186">
      <w:bodyDiv w:val="1"/>
      <w:marLeft w:val="0"/>
      <w:marRight w:val="0"/>
      <w:marTop w:val="0"/>
      <w:marBottom w:val="0"/>
      <w:divBdr>
        <w:top w:val="none" w:sz="0" w:space="0" w:color="auto"/>
        <w:left w:val="none" w:sz="0" w:space="0" w:color="auto"/>
        <w:bottom w:val="none" w:sz="0" w:space="0" w:color="auto"/>
        <w:right w:val="none" w:sz="0" w:space="0" w:color="auto"/>
      </w:divBdr>
    </w:div>
    <w:div w:id="2117482938">
      <w:bodyDiv w:val="1"/>
      <w:marLeft w:val="0"/>
      <w:marRight w:val="0"/>
      <w:marTop w:val="0"/>
      <w:marBottom w:val="0"/>
      <w:divBdr>
        <w:top w:val="none" w:sz="0" w:space="0" w:color="auto"/>
        <w:left w:val="none" w:sz="0" w:space="0" w:color="auto"/>
        <w:bottom w:val="none" w:sz="0" w:space="0" w:color="auto"/>
        <w:right w:val="none" w:sz="0" w:space="0" w:color="auto"/>
      </w:divBdr>
    </w:div>
    <w:div w:id="214102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EF60F-E7FE-4F8B-A596-79D21FC28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7</Pages>
  <Words>3299</Words>
  <Characters>19798</Characters>
  <Application>Microsoft Office Word</Application>
  <DocSecurity>0</DocSecurity>
  <Lines>164</Lines>
  <Paragraphs>46</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23051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Sankiewicz Szymon</dc:creator>
  <cp:keywords/>
  <dc:description/>
  <cp:lastModifiedBy>Gos Anna</cp:lastModifiedBy>
  <cp:revision>15</cp:revision>
  <dcterms:created xsi:type="dcterms:W3CDTF">2020-10-03T18:29:00Z</dcterms:created>
  <dcterms:modified xsi:type="dcterms:W3CDTF">2020-10-05T09:34:00Z</dcterms:modified>
</cp:coreProperties>
</file>